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BC975" w14:textId="77777777" w:rsidR="006E36CD" w:rsidRDefault="00000000">
      <w:pPr>
        <w:spacing w:after="80"/>
        <w:jc w:val="center"/>
      </w:pPr>
      <w:r>
        <w:rPr>
          <w:b/>
          <w:bCs/>
          <w:sz w:val="24"/>
          <w:szCs w:val="24"/>
        </w:rPr>
        <w:t>STATE COMMISSION ON JUDICIAL CONDUCT</w:t>
      </w:r>
    </w:p>
    <w:p w14:paraId="5D3C440D" w14:textId="77777777" w:rsidR="006E36CD" w:rsidRDefault="00000000">
      <w:pPr>
        <w:spacing w:after="80"/>
        <w:jc w:val="center"/>
      </w:pPr>
      <w:r>
        <w:rPr>
          <w:b/>
          <w:bCs/>
          <w:sz w:val="24"/>
          <w:szCs w:val="24"/>
        </w:rPr>
        <w:t>STATE OF TEXAS</w:t>
      </w:r>
    </w:p>
    <w:p w14:paraId="6C0B898D" w14:textId="77777777" w:rsidR="006E36CD" w:rsidRDefault="006E36CD">
      <w:pPr>
        <w:spacing w:after="160" w:line="276" w:lineRule="auto"/>
      </w:pPr>
    </w:p>
    <w:p w14:paraId="11A8D678" w14:textId="77777777" w:rsidR="006E36CD" w:rsidRDefault="00000000">
      <w:pPr>
        <w:spacing w:after="80"/>
        <w:jc w:val="center"/>
      </w:pPr>
      <w:r>
        <w:rPr>
          <w:b/>
          <w:bCs/>
          <w:sz w:val="22"/>
          <w:szCs w:val="22"/>
        </w:rPr>
        <w:t>CAROLINE ALLISON,</w:t>
      </w:r>
    </w:p>
    <w:p w14:paraId="153870D2" w14:textId="77777777" w:rsidR="006E36CD" w:rsidRDefault="00000000">
      <w:pPr>
        <w:spacing w:after="80"/>
        <w:jc w:val="center"/>
      </w:pPr>
      <w:r>
        <w:rPr>
          <w:sz w:val="22"/>
          <w:szCs w:val="22"/>
        </w:rPr>
        <w:t>Complainant,</w:t>
      </w:r>
    </w:p>
    <w:p w14:paraId="314CD6BF" w14:textId="77777777" w:rsidR="006E36CD" w:rsidRDefault="00000000">
      <w:pPr>
        <w:spacing w:after="80"/>
        <w:jc w:val="center"/>
      </w:pPr>
      <w:r>
        <w:rPr>
          <w:sz w:val="22"/>
          <w:szCs w:val="22"/>
        </w:rPr>
        <w:t>v.</w:t>
      </w:r>
    </w:p>
    <w:p w14:paraId="6BD7288A" w14:textId="77777777" w:rsidR="006E36CD" w:rsidRDefault="00000000">
      <w:pPr>
        <w:spacing w:after="80"/>
        <w:jc w:val="center"/>
      </w:pPr>
      <w:r>
        <w:rPr>
          <w:b/>
          <w:bCs/>
          <w:sz w:val="22"/>
          <w:szCs w:val="22"/>
        </w:rPr>
        <w:t>HON. ANNE ASHBY (RET.),</w:t>
      </w:r>
    </w:p>
    <w:p w14:paraId="383B1717" w14:textId="77777777" w:rsidR="006E36CD" w:rsidRDefault="00000000">
      <w:pPr>
        <w:spacing w:after="80"/>
        <w:jc w:val="center"/>
      </w:pPr>
      <w:r>
        <w:rPr>
          <w:sz w:val="22"/>
          <w:szCs w:val="22"/>
        </w:rPr>
        <w:t>Subject.</w:t>
      </w:r>
    </w:p>
    <w:p w14:paraId="4DF1A8D8" w14:textId="77777777" w:rsidR="006E36CD" w:rsidRDefault="006E36CD">
      <w:pPr>
        <w:spacing w:after="160" w:line="276" w:lineRule="auto"/>
      </w:pPr>
    </w:p>
    <w:p w14:paraId="4AE737FE" w14:textId="77777777" w:rsidR="006E36CD" w:rsidRDefault="00000000">
      <w:pPr>
        <w:spacing w:after="80"/>
        <w:jc w:val="center"/>
      </w:pPr>
      <w:r>
        <w:rPr>
          <w:i/>
          <w:iCs/>
        </w:rPr>
        <w:t>Texas State Bar No. 15402600</w:t>
      </w:r>
    </w:p>
    <w:p w14:paraId="235BD6BA" w14:textId="77777777" w:rsidR="006E36CD" w:rsidRDefault="00000000">
      <w:pPr>
        <w:spacing w:after="80"/>
        <w:jc w:val="center"/>
      </w:pPr>
      <w:r>
        <w:rPr>
          <w:i/>
          <w:iCs/>
        </w:rPr>
        <w:t>Related Arbitration: AAA Case No. 01-22-0000-9524 — Caroline Allison and Richard Allison v. Jorge Borunda, Nicholas Abaza, Michael Trevino, et al.</w:t>
      </w:r>
    </w:p>
    <w:p w14:paraId="1549740A" w14:textId="77777777" w:rsidR="006E36CD" w:rsidRDefault="006E36CD">
      <w:pPr>
        <w:spacing w:after="160" w:line="276" w:lineRule="auto"/>
      </w:pPr>
    </w:p>
    <w:p w14:paraId="3DF56EA3" w14:textId="77777777" w:rsidR="006E36CD" w:rsidRDefault="00000000">
      <w:pPr>
        <w:spacing w:after="80"/>
        <w:jc w:val="center"/>
      </w:pPr>
      <w:r>
        <w:rPr>
          <w:b/>
          <w:bCs/>
          <w:sz w:val="22"/>
          <w:szCs w:val="22"/>
        </w:rPr>
        <w:t>COMPLAINT REGARDING JUDICIAL CONDUCT, ARBITRATOR DISCLOSURES, AND APPEARANCE OF PARTIALITY</w:t>
      </w:r>
    </w:p>
    <w:p w14:paraId="0BA2363D" w14:textId="77777777" w:rsidR="006E36CD" w:rsidRDefault="006E36CD">
      <w:pPr>
        <w:spacing w:after="160" w:line="276" w:lineRule="auto"/>
      </w:pPr>
    </w:p>
    <w:p w14:paraId="69077F86" w14:textId="77777777" w:rsidR="006E36CD" w:rsidRDefault="00000000">
      <w:pPr>
        <w:pStyle w:val="Heading1"/>
        <w:spacing w:before="320" w:after="160"/>
      </w:pPr>
      <w:r>
        <w:rPr>
          <w:b/>
          <w:bCs/>
          <w:caps/>
          <w:color w:val="1B2A4A"/>
          <w:sz w:val="24"/>
          <w:szCs w:val="24"/>
        </w:rPr>
        <w:t>I. Dates of Alleged Misconduct and Exhibit References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6650"/>
        <w:gridCol w:w="1100"/>
      </w:tblGrid>
      <w:tr w:rsidR="006E36CD" w14:paraId="188EFA7B" w14:textId="77777777">
        <w:trPr>
          <w:tblHeader/>
        </w:trPr>
        <w:tc>
          <w:tcPr>
            <w:tcW w:w="16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5FB42ED0" w14:textId="77777777" w:rsidR="006E36CD" w:rsidRDefault="00000000">
            <w:r>
              <w:rPr>
                <w:b/>
                <w:bCs/>
                <w:color w:val="FFFFFF"/>
                <w:sz w:val="18"/>
                <w:szCs w:val="18"/>
              </w:rPr>
              <w:t>Date</w:t>
            </w:r>
          </w:p>
        </w:tc>
        <w:tc>
          <w:tcPr>
            <w:tcW w:w="665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1E74DA6D" w14:textId="77777777" w:rsidR="006E36CD" w:rsidRDefault="00000000">
            <w:r>
              <w:rPr>
                <w:b/>
                <w:bCs/>
                <w:color w:val="FFFFFF"/>
                <w:sz w:val="18"/>
                <w:szCs w:val="18"/>
              </w:rPr>
              <w:t>Ethical Violation &amp; Misconduct Specification</w:t>
            </w:r>
          </w:p>
        </w:tc>
        <w:tc>
          <w:tcPr>
            <w:tcW w:w="11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03EC3A8E" w14:textId="77777777" w:rsidR="006E36CD" w:rsidRDefault="00000000">
            <w:r>
              <w:rPr>
                <w:b/>
                <w:bCs/>
                <w:color w:val="FFFFFF"/>
                <w:sz w:val="18"/>
                <w:szCs w:val="18"/>
              </w:rPr>
              <w:t>Exhibits</w:t>
            </w:r>
          </w:p>
        </w:tc>
      </w:tr>
      <w:tr w:rsidR="006E36CD" w:rsidRPr="00DB5AFE" w14:paraId="798EC53F"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02C108F" w14:textId="77777777" w:rsidR="006E36CD" w:rsidRDefault="00000000">
            <w:r>
              <w:rPr>
                <w:sz w:val="18"/>
                <w:szCs w:val="18"/>
              </w:rPr>
              <w:t>Sept. 30, 2022</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584098D" w14:textId="77777777" w:rsidR="006E36CD" w:rsidRDefault="00000000">
            <w:r>
              <w:rPr>
                <w:sz w:val="18"/>
                <w:szCs w:val="18"/>
              </w:rPr>
              <w:t>Ashby signs and swears to the AAA General Arbitrator Oath and Initial Disclosures letter. On the Oath form she answers “No” to Question 4 (professional/social relationship with parties or witnesses) and “No” to Question 15 (any other information creating an appearance of partiality). In the accompanying disclosure letter she represents that she “conducted a computerized conflicts search within Shields Legal Group ‘SLG’ and have discovered no conflicts,” and separately swears that she will “bill parties responsibly and ethically.” Michael Collins is not named or referenced anywhere in either document.</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56F4AA0" w14:textId="77777777" w:rsidR="006E36CD" w:rsidRPr="00346565" w:rsidRDefault="00000000">
            <w:pPr>
              <w:rPr>
                <w:lang w:val="it-IT"/>
              </w:rPr>
            </w:pPr>
            <w:r>
              <w:rPr>
                <w:sz w:val="18"/>
                <w:szCs w:val="18"/>
                <w:lang w:val="it-IT"/>
              </w:rPr>
              <w:t>Ex. 6(a) (Oath), Ex. 6(b) (Disclosure Letter)</w:t>
            </w:r>
          </w:p>
        </w:tc>
      </w:tr>
      <w:tr w:rsidR="006E36CD" w14:paraId="739BBD7E"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531FC04" w14:textId="77777777" w:rsidR="006E36CD" w:rsidRDefault="00000000">
            <w:r>
              <w:rPr>
                <w:sz w:val="18"/>
                <w:szCs w:val="18"/>
              </w:rPr>
              <w:t>Oct. 4–19, 2022</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99E2881" w14:textId="77777777" w:rsidR="006E36CD" w:rsidRDefault="00000000">
            <w:r>
              <w:rPr>
                <w:sz w:val="18"/>
                <w:szCs w:val="18"/>
              </w:rPr>
              <w:t>First and second supplemental disclosures issued; appointment and reaffirmation as arbitrator proceed with no disclosure of the Michael Collins relationship, its duration, or its financial dimensions.</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384AADD" w14:textId="77777777" w:rsidR="006E36CD" w:rsidRDefault="00000000">
            <w:r>
              <w:rPr>
                <w:sz w:val="18"/>
                <w:szCs w:val="18"/>
              </w:rPr>
              <w:t>Ex. 6(e)–(h)</w:t>
            </w:r>
          </w:p>
        </w:tc>
      </w:tr>
      <w:tr w:rsidR="006E36CD" w14:paraId="16E66852"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8C1897A" w14:textId="77777777" w:rsidR="006E36CD" w:rsidRDefault="00000000">
            <w:r>
              <w:rPr>
                <w:sz w:val="18"/>
                <w:szCs w:val="18"/>
              </w:rPr>
              <w:t>Dec. 9, 2022</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3C3ED27" w14:textId="77777777" w:rsidR="006E36CD" w:rsidRDefault="00000000">
            <w:r>
              <w:rPr>
                <w:sz w:val="18"/>
                <w:szCs w:val="18"/>
              </w:rPr>
              <w:t>The Lawyers file their Answering Statement to Richard Allison’s Statement of Claims in the arbitration. Attached to that filing as Exhibit F is a Collin County Probate Court order (Order on Applicant’s Motion for Enforcement and for Sanctions) bearing the signature block “/s/ Michael J. Collins, MICHAEL J. COLLINS, Counsel for Robin Allison,” filed under a certificate of service stating the document was served on all parties. This is the earliest document in the arbitration record identified to date that places Michael J. Collins’s name and role as Robin Allison’s counsel in a written filing in the case — more than six months before Ashby’s first partial disclosure of any relationship with him.</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E6DD739" w14:textId="77777777" w:rsidR="006E36CD" w:rsidRDefault="00000000">
            <w:r>
              <w:rPr>
                <w:sz w:val="18"/>
                <w:szCs w:val="18"/>
              </w:rPr>
              <w:t>Ex. 14</w:t>
            </w:r>
          </w:p>
        </w:tc>
      </w:tr>
      <w:tr w:rsidR="006E36CD" w14:paraId="608EF79B"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03CD7A0" w14:textId="77777777" w:rsidR="006E36CD" w:rsidRDefault="00000000">
            <w:r>
              <w:rPr>
                <w:sz w:val="18"/>
                <w:szCs w:val="18"/>
              </w:rPr>
              <w:t>Apr. 2009 (undisclosed)</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928D3B0" w14:textId="77777777" w:rsidR="006E36CD" w:rsidRDefault="00000000">
            <w:r>
              <w:rPr>
                <w:sz w:val="18"/>
                <w:szCs w:val="18"/>
              </w:rPr>
              <w:t>Chapter 7 bankruptcy filed under the name “Anne Duren,” the same month Ashby joined Michael Collins’s firm, Collins Basinger &amp; Pullman, as a director-level attorney; bankruptcy schedules reportedly omit firm income.</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E4DFA7B" w14:textId="77777777" w:rsidR="006E36CD" w:rsidRDefault="00000000">
            <w:r>
              <w:rPr>
                <w:sz w:val="18"/>
                <w:szCs w:val="18"/>
              </w:rPr>
              <w:t>Ex. 10; Ex. 24(a)–(h)</w:t>
            </w:r>
          </w:p>
        </w:tc>
      </w:tr>
      <w:tr w:rsidR="006E36CD" w14:paraId="1BCCD626"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7BDD49E" w14:textId="77777777" w:rsidR="006E36CD" w:rsidRDefault="00000000">
            <w:r>
              <w:rPr>
                <w:sz w:val="18"/>
                <w:szCs w:val="18"/>
              </w:rPr>
              <w:t>Jun. 5, 2023</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8928D08" w14:textId="77777777" w:rsidR="006E36CD" w:rsidRDefault="00000000">
            <w:r>
              <w:rPr>
                <w:sz w:val="18"/>
                <w:szCs w:val="18"/>
              </w:rPr>
              <w:t>Second supplemental disclosure addressing expert witnesses; omits Keith Staubus’s decades-long professional relationship with Michael Collins.</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93971BB" w14:textId="77777777" w:rsidR="006E36CD" w:rsidRDefault="00000000">
            <w:r>
              <w:rPr>
                <w:sz w:val="18"/>
                <w:szCs w:val="18"/>
              </w:rPr>
              <w:t>Ex. 6(i)</w:t>
            </w:r>
          </w:p>
        </w:tc>
      </w:tr>
      <w:tr w:rsidR="006E36CD" w14:paraId="7FE734E8"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C4020A9" w14:textId="77777777" w:rsidR="006E36CD" w:rsidRDefault="00000000">
            <w:r>
              <w:rPr>
                <w:sz w:val="18"/>
                <w:szCs w:val="18"/>
              </w:rPr>
              <w:t>Jun. 15, 2023</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331B75A" w14:textId="77777777" w:rsidR="006E36CD" w:rsidRDefault="00000000">
            <w:r>
              <w:rPr>
                <w:sz w:val="18"/>
                <w:szCs w:val="18"/>
              </w:rPr>
              <w:t>Third supplemental disclosure — discloses only a six-month period of shared practice with Collins in 1986 and a two-year association at Collins Basinger &amp; Pullman ending in 2011 — issued more than eight months after appointment and only days before reaffirmation; does not disclose the divorce representation, the 35+ year overall duration, the bankruptcy timing, or the director-level role.</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553EE3C" w14:textId="77777777" w:rsidR="006E36CD" w:rsidRDefault="00000000">
            <w:r>
              <w:rPr>
                <w:sz w:val="18"/>
                <w:szCs w:val="18"/>
              </w:rPr>
              <w:t>Ex. 6(j)</w:t>
            </w:r>
          </w:p>
        </w:tc>
      </w:tr>
      <w:tr w:rsidR="006E36CD" w14:paraId="5EF1A600"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3E5A290" w14:textId="77777777" w:rsidR="006E36CD" w:rsidRDefault="00000000">
            <w:r>
              <w:rPr>
                <w:sz w:val="18"/>
                <w:szCs w:val="18"/>
              </w:rPr>
              <w:lastRenderedPageBreak/>
              <w:t>Jun. 21, 2023</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B9A58EF" w14:textId="77777777" w:rsidR="006E36CD" w:rsidRDefault="00000000">
            <w:r>
              <w:rPr>
                <w:sz w:val="18"/>
                <w:szCs w:val="18"/>
              </w:rPr>
              <w:t>Ashby reaffirmed as arbitrator; disclosure window for meaningful objection effectively closed.</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B52B4DE" w14:textId="77777777" w:rsidR="006E36CD" w:rsidRDefault="00000000">
            <w:r>
              <w:rPr>
                <w:sz w:val="18"/>
                <w:szCs w:val="18"/>
              </w:rPr>
              <w:t>Timeline, § V</w:t>
            </w:r>
          </w:p>
        </w:tc>
      </w:tr>
      <w:tr w:rsidR="006E36CD" w14:paraId="5E3B36DB"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77A49DA" w14:textId="77777777" w:rsidR="006E36CD" w:rsidRDefault="00000000">
            <w:r>
              <w:rPr>
                <w:sz w:val="18"/>
                <w:szCs w:val="18"/>
              </w:rPr>
              <w:t>Jul. 11, 2023</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9703A11" w14:textId="77777777" w:rsidR="006E36CD" w:rsidRDefault="00000000">
            <w:r>
              <w:rPr>
                <w:sz w:val="18"/>
                <w:szCs w:val="18"/>
              </w:rPr>
              <w:t>Counsel for Borunda, Abaza, and Trevino file “The Lawyers’ Witness Disclosures and Amended Checklist for Conflicts,” formally naming Michael J. Collins and Deborah Jordan (The Collins Law Group) as case witnesses and identifying Collins as “Counsel for Robin Allison” — served on all parties, including Ashby, three and a half weeks after her partial June 15 disclosure and three weeks after her June 21 reaffirmation.</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1705A0B" w14:textId="77777777" w:rsidR="006E36CD" w:rsidRDefault="00000000">
            <w:r>
              <w:rPr>
                <w:sz w:val="18"/>
                <w:szCs w:val="18"/>
              </w:rPr>
              <w:t>Ex. 11</w:t>
            </w:r>
          </w:p>
        </w:tc>
      </w:tr>
      <w:tr w:rsidR="006E36CD" w14:paraId="518D7621"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0B447C0" w14:textId="77777777" w:rsidR="006E36CD" w:rsidRDefault="00000000">
            <w:r>
              <w:rPr>
                <w:sz w:val="18"/>
                <w:szCs w:val="18"/>
              </w:rPr>
              <w:t>Sept. 6, 2023</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F316292" w14:textId="77777777" w:rsidR="006E36CD" w:rsidRDefault="00000000">
            <w:r>
              <w:rPr>
                <w:sz w:val="18"/>
                <w:szCs w:val="18"/>
              </w:rPr>
              <w:t>Order freezing a Charles Schwab brokerage account of Minaki Limited Partnership — a non-party never sued in the arbitration.</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49F625D" w14:textId="77777777" w:rsidR="006E36CD" w:rsidRDefault="00000000">
            <w:r>
              <w:rPr>
                <w:sz w:val="18"/>
                <w:szCs w:val="18"/>
              </w:rPr>
              <w:t>Ex. 9</w:t>
            </w:r>
          </w:p>
        </w:tc>
      </w:tr>
      <w:tr w:rsidR="006E36CD" w14:paraId="4107D077"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AF9C2DB" w14:textId="77777777" w:rsidR="006E36CD" w:rsidRDefault="00000000">
            <w:r>
              <w:rPr>
                <w:sz w:val="18"/>
                <w:szCs w:val="18"/>
              </w:rPr>
              <w:t>2023 hearing dates</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AB5107F" w14:textId="77777777" w:rsidR="006E36CD" w:rsidRDefault="00000000">
            <w:r>
              <w:rPr>
                <w:sz w:val="18"/>
                <w:szCs w:val="18"/>
              </w:rPr>
              <w:t>Refusal to permit live testimony from the Complainant’s expert witnesses (Sarah Pacheco, Rob Hancock) while permitting the Lawyers’ witness Nicholas Abaza to testify live; exclusion of testimony from former client Gail Echols.</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F468FCF" w14:textId="77777777" w:rsidR="006E36CD" w:rsidRDefault="00000000">
            <w:r>
              <w:rPr>
                <w:sz w:val="18"/>
                <w:szCs w:val="18"/>
              </w:rPr>
              <w:t>Ex. 3, 4</w:t>
            </w:r>
          </w:p>
        </w:tc>
      </w:tr>
      <w:tr w:rsidR="006E36CD" w14:paraId="0847241E"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3D53E05" w14:textId="77777777" w:rsidR="006E36CD" w:rsidRDefault="00000000">
            <w:r>
              <w:rPr>
                <w:sz w:val="18"/>
                <w:szCs w:val="18"/>
              </w:rPr>
              <w:t>Apr. 28–Jun. 20, 2024</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6B92906" w14:textId="77777777" w:rsidR="006E36CD" w:rsidRDefault="00000000">
            <w:r>
              <w:rPr>
                <w:sz w:val="18"/>
                <w:szCs w:val="18"/>
              </w:rPr>
              <w:t>Interim and Final Award issued, adopting the Lawyers’ legal theories and requested damages in substantial part, without independent recalculation, and ordering trustees to liquidate irrevocable spendthrift trust assets to satisfy a personal judgment.</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867918B" w14:textId="77777777" w:rsidR="006E36CD" w:rsidRDefault="00000000">
            <w:r>
              <w:rPr>
                <w:sz w:val="18"/>
                <w:szCs w:val="18"/>
              </w:rPr>
              <w:t>Ex. 8(b), 8(d)</w:t>
            </w:r>
          </w:p>
        </w:tc>
      </w:tr>
      <w:tr w:rsidR="006E36CD" w14:paraId="290972F6" w14:textId="77777777">
        <w:tc>
          <w:tcPr>
            <w:tcW w:w="16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C41433B" w14:textId="77777777" w:rsidR="006E36CD" w:rsidRDefault="00000000">
            <w:r>
              <w:rPr>
                <w:sz w:val="18"/>
                <w:szCs w:val="18"/>
              </w:rPr>
              <w:t>Aug. 4, 2026 (confirmed)</w:t>
            </w:r>
          </w:p>
        </w:tc>
        <w:tc>
          <w:tcPr>
            <w:tcW w:w="6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EBCE7FA" w14:textId="77777777" w:rsidR="006E36CD" w:rsidRDefault="00000000">
            <w:r>
              <w:rPr>
                <w:sz w:val="18"/>
                <w:szCs w:val="18"/>
              </w:rPr>
              <w:t>Mark Logsdon executes and files a separate, sworn, notarized State Commission on Judicial Conduct complaint against Anne Ashby (Ret.) arising from an unrelated arbitration, alleging a substantially similar pattern of disclosure failures. See Section VI, below.</w:t>
            </w:r>
          </w:p>
        </w:tc>
        <w:tc>
          <w:tcPr>
            <w:tcW w:w="11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01C4ED8" w14:textId="77777777" w:rsidR="006E36CD" w:rsidRDefault="00000000">
            <w:r>
              <w:rPr>
                <w:sz w:val="18"/>
                <w:szCs w:val="18"/>
              </w:rPr>
              <w:t>Ex. 12</w:t>
            </w:r>
          </w:p>
        </w:tc>
      </w:tr>
    </w:tbl>
    <w:p w14:paraId="6A8C0D93" w14:textId="77777777" w:rsidR="006E36CD" w:rsidRDefault="00000000">
      <w:pPr>
        <w:pStyle w:val="Heading1"/>
        <w:spacing w:before="320" w:after="160"/>
      </w:pPr>
      <w:r>
        <w:rPr>
          <w:b/>
          <w:bCs/>
          <w:caps/>
          <w:color w:val="1B2A4A"/>
          <w:sz w:val="24"/>
          <w:szCs w:val="24"/>
        </w:rPr>
        <w:t>II. Statutory and Ethical Framework</w:t>
      </w:r>
    </w:p>
    <w:p w14:paraId="19F1A1D0" w14:textId="77777777" w:rsidR="006E36CD" w:rsidRDefault="00000000">
      <w:pPr>
        <w:spacing w:after="160" w:line="276" w:lineRule="auto"/>
      </w:pPr>
      <w:r>
        <w:t>Anne Ashby is a retired Texas judicial officer who accepted appointment as a private arbitrator. In that capacity she remains bound by the Texas Code of Judicial Conduct and subject to the regulatory authority of the State Commission on Judicial Conduct. Her conduct as described below implicates:</w:t>
      </w:r>
    </w:p>
    <w:p w14:paraId="65D96122" w14:textId="77777777" w:rsidR="006E36CD" w:rsidRDefault="00000000">
      <w:pPr>
        <w:pStyle w:val="ListParagraph"/>
        <w:numPr>
          <w:ilvl w:val="0"/>
          <w:numId w:val="1"/>
        </w:numPr>
        <w:spacing w:after="120" w:line="276" w:lineRule="auto"/>
      </w:pPr>
      <w:r>
        <w:rPr>
          <w:b/>
          <w:bCs/>
        </w:rPr>
        <w:t>Canon 1</w:t>
      </w:r>
      <w:r>
        <w:t xml:space="preserve"> (Integrity and Independence of the Judiciary): a judicial officer must personally observe high standards of conduct so that the integrity and independence of the adjudicatory process are preserved.</w:t>
      </w:r>
    </w:p>
    <w:p w14:paraId="5F703482" w14:textId="77777777" w:rsidR="006E36CD" w:rsidRDefault="00000000">
      <w:pPr>
        <w:pStyle w:val="ListParagraph"/>
        <w:numPr>
          <w:ilvl w:val="0"/>
          <w:numId w:val="1"/>
        </w:numPr>
        <w:spacing w:after="120" w:line="276" w:lineRule="auto"/>
      </w:pPr>
      <w:r>
        <w:rPr>
          <w:b/>
          <w:bCs/>
        </w:rPr>
        <w:t>Canon 2</w:t>
      </w:r>
      <w:r>
        <w:t xml:space="preserve"> (Avoiding Impropriety and the Appearance of Impropriety): a judicial officer shall not allow family, social, or other relationships to influence judicial conduct or judgment, and shall avoid the appearance of impropriety in all activities.</w:t>
      </w:r>
    </w:p>
    <w:p w14:paraId="6E9B534A" w14:textId="77777777" w:rsidR="006E36CD" w:rsidRDefault="00000000">
      <w:pPr>
        <w:pStyle w:val="ListParagraph"/>
        <w:numPr>
          <w:ilvl w:val="0"/>
          <w:numId w:val="1"/>
        </w:numPr>
        <w:spacing w:after="120" w:line="276" w:lineRule="auto"/>
      </w:pPr>
      <w:r>
        <w:rPr>
          <w:b/>
          <w:bCs/>
        </w:rPr>
        <w:t>Canon 3</w:t>
      </w:r>
      <w:r>
        <w:t xml:space="preserve"> (Performing Duties Impartially and Diligently): a judicial officer shall perform adjudicatory duties without bias or prejudice, and shall not delegate the core function of independent decision-making.</w:t>
      </w:r>
    </w:p>
    <w:p w14:paraId="57D72595" w14:textId="77777777" w:rsidR="006E36CD" w:rsidRDefault="00000000">
      <w:pPr>
        <w:spacing w:after="160" w:line="276" w:lineRule="auto"/>
      </w:pPr>
      <w:r>
        <w:t>These duties are heightened, not diminished, where — as here — the proceeding is binding, largely unreviewable, and conducted before a professional community unfamiliar to one side of the dispute.</w:t>
      </w:r>
    </w:p>
    <w:p w14:paraId="73C9ADF3" w14:textId="77777777" w:rsidR="006E36CD" w:rsidRDefault="00000000">
      <w:pPr>
        <w:pStyle w:val="Heading1"/>
        <w:spacing w:before="320" w:after="160"/>
      </w:pPr>
      <w:r>
        <w:rPr>
          <w:b/>
          <w:bCs/>
          <w:caps/>
          <w:color w:val="1B2A4A"/>
          <w:sz w:val="24"/>
          <w:szCs w:val="24"/>
        </w:rPr>
        <w:t>III. Case Summary</w:t>
      </w:r>
    </w:p>
    <w:p w14:paraId="1B2347E7" w14:textId="77777777" w:rsidR="006E36CD" w:rsidRDefault="00000000">
      <w:pPr>
        <w:spacing w:after="160" w:line="276" w:lineRule="auto"/>
      </w:pPr>
      <w:r>
        <w:t>Before assuming authority over a multimillion-dollar dispute affecting the Allison family’s inheritance and trust assets, Anne Ashby executed a sworn Arbitrator Oath and disclosure documents representing that she had conducted an appropriate conflict review and disclosed any relationship that could raise a reasonable question as to her impartiality. The oath instructed that any doubt be resolved in favor of disclosure.</w:t>
      </w:r>
    </w:p>
    <w:p w14:paraId="338A2FBA" w14:textId="77777777" w:rsidR="006E36CD" w:rsidRDefault="00000000">
      <w:pPr>
        <w:spacing w:after="160" w:line="276" w:lineRule="auto"/>
      </w:pPr>
      <w:r>
        <w:t>The evidence subsequently obtained by the Complainant — principally through independent investigation and public records — raises substantial questions regarding whether those sworn representations were complete, candid, and timely. That question is no longer isolated to the Allison matter: a second individual, arbitrating an unrelated dispute before the same retired judge, has independently reached a sworn conclusion that Ashby’s disclosure practices followed a similar pattern. See Sections VI–VII, below. The central issue remains straightforward:</w:t>
      </w:r>
    </w:p>
    <w:p w14:paraId="5755BEFF" w14:textId="77777777" w:rsidR="006E36CD" w:rsidRDefault="00000000">
      <w:pPr>
        <w:spacing w:after="160" w:line="276" w:lineRule="auto"/>
      </w:pPr>
      <w:r>
        <w:rPr>
          <w:i/>
          <w:iCs/>
        </w:rPr>
        <w:lastRenderedPageBreak/>
        <w:t>Did a retired judge serving as a neutral arbitrator make materially incomplete disclosures concerning significant personal, professional, and financial relationships, and thereafter preside over the arbitration in a manner that created a reasonable appearance that her neutrality could be questioned — and does that conduct recur across her arbitration practice generally?</w:t>
      </w:r>
    </w:p>
    <w:p w14:paraId="0F8D20F8" w14:textId="77777777" w:rsidR="006E36CD" w:rsidRDefault="00000000">
      <w:pPr>
        <w:spacing w:after="160" w:line="276" w:lineRule="auto"/>
      </w:pPr>
      <w:r>
        <w:t>The Complainant respectfully requests that the Commission investigate that question.</w:t>
      </w:r>
    </w:p>
    <w:p w14:paraId="343685E3" w14:textId="77777777" w:rsidR="006E36CD" w:rsidRDefault="00000000">
      <w:pPr>
        <w:pStyle w:val="Heading2"/>
        <w:spacing w:before="240" w:after="120"/>
      </w:pPr>
      <w:r>
        <w:rPr>
          <w:b/>
          <w:bCs/>
          <w:sz w:val="22"/>
          <w:szCs w:val="22"/>
        </w:rPr>
        <w:t>Related Investigative Reporting: The Dolcefino Media “Damn Lawyers” Series</w:t>
      </w:r>
    </w:p>
    <w:p w14:paraId="2ABB2D5B" w14:textId="77777777" w:rsidR="006E36CD" w:rsidRDefault="00000000">
      <w:pPr>
        <w:spacing w:after="160" w:line="276" w:lineRule="auto"/>
      </w:pPr>
      <w:r>
        <w:t>Independent of this complaint, investigative journalist Wayne Dolcefino and Dolcefino Media have published a multi-part video investigation and a companion website, damnlawyers.com, examining the underlying fee dispute between the Complainant, her brother, and their former attorneys — Jorge Borunda, Nicholas Abaza, and Michael Trevino — as well as Ashby’s role as arbitrator. The Complainant summarizes that reporting below for context. It is offered as investigative journalism and public advocacy, not as evidence independently verified by the Commission, and the Complainant does not ask the Commission to treat it as proof of any fact stated in this complaint.</w:t>
      </w:r>
    </w:p>
    <w:p w14:paraId="69C7D85E" w14:textId="77777777" w:rsidR="006E36CD" w:rsidRDefault="00000000">
      <w:pPr>
        <w:spacing w:after="160" w:line="276" w:lineRule="auto"/>
      </w:pPr>
      <w:r>
        <w:t>According to that reporting, taken together with the FTC complaints and consumer-alert materials that accompanied it:</w:t>
      </w:r>
    </w:p>
    <w:p w14:paraId="32C485F6" w14:textId="77777777" w:rsidR="006E36CD" w:rsidRDefault="00000000">
      <w:pPr>
        <w:pStyle w:val="ListParagraph"/>
        <w:numPr>
          <w:ilvl w:val="0"/>
          <w:numId w:val="1"/>
        </w:numPr>
        <w:spacing w:after="120" w:line="276" w:lineRule="auto"/>
      </w:pPr>
      <w:r>
        <w:rPr>
          <w:b/>
          <w:bCs/>
        </w:rPr>
        <w:t xml:space="preserve">Fee conversion and settlement pressure: </w:t>
      </w:r>
      <w:r>
        <w:t>The reporting states that Borunda, Abaza, and Trevino pressured the Complainant and her brother into extended litigation with their stepmother over their late father’s estate, then converted the fee arrangement from hourly billing (after tens of thousands of dollars had already been billed) to a 35% contingency fee once a large recovery appeared likely — and that an expert report cited in the reporting concluded the resulting settlement gave up on the order of $15 million in other assets the family could otherwise have retained. The reporting also identifies a substantially similar malpractice suit brought against the same three attorneys in 2016, which settled out of court.</w:t>
      </w:r>
    </w:p>
    <w:p w14:paraId="3853F2DA" w14:textId="77777777" w:rsidR="006E36CD" w:rsidRDefault="00000000">
      <w:pPr>
        <w:pStyle w:val="ListParagraph"/>
        <w:numPr>
          <w:ilvl w:val="0"/>
          <w:numId w:val="1"/>
        </w:numPr>
        <w:spacing w:after="120" w:line="276" w:lineRule="auto"/>
      </w:pPr>
      <w:r>
        <w:rPr>
          <w:b/>
          <w:bCs/>
        </w:rPr>
        <w:t xml:space="preserve">Arbitrator cronyism: </w:t>
      </w:r>
      <w:r>
        <w:t>The reporting states that Ashby awarded approximately $600,000 to Trevino despite Richard Allison never having signed a contract naming Trevino as his attorney, and raises questions about undisclosed relationships between Ashby and attorneys connected to the case — consistent with, though independently reported from, the disclosure failures alleged in this complaint.</w:t>
      </w:r>
    </w:p>
    <w:p w14:paraId="07986FCA" w14:textId="77777777" w:rsidR="006E36CD" w:rsidRDefault="00000000">
      <w:pPr>
        <w:pStyle w:val="ListParagraph"/>
        <w:numPr>
          <w:ilvl w:val="0"/>
          <w:numId w:val="1"/>
        </w:numPr>
        <w:spacing w:after="120" w:line="276" w:lineRule="auto"/>
      </w:pPr>
      <w:r>
        <w:rPr>
          <w:b/>
          <w:bCs/>
        </w:rPr>
        <w:t xml:space="preserve">“Contrived fraud” characterization: </w:t>
      </w:r>
      <w:r>
        <w:t>A later installment characterizes the fee-conversion and settlement sequence as a deliberately manufactured scheme and reports Wayne Dolcefino’s statement that the arbitrator “lied to cover up her clear conflicts of interest.”</w:t>
      </w:r>
    </w:p>
    <w:p w14:paraId="7E053CA5" w14:textId="77777777" w:rsidR="006E36CD" w:rsidRDefault="00000000">
      <w:pPr>
        <w:pStyle w:val="ListParagraph"/>
        <w:numPr>
          <w:ilvl w:val="0"/>
          <w:numId w:val="1"/>
        </w:numPr>
        <w:spacing w:after="120" w:line="276" w:lineRule="auto"/>
      </w:pPr>
      <w:r>
        <w:rPr>
          <w:b/>
          <w:bCs/>
        </w:rPr>
        <w:t xml:space="preserve">Fabricated online reviews: </w:t>
      </w:r>
      <w:r>
        <w:t>The most recent installment reports that Borunda, Abaza, and Trevino solicited or posted online reviews from their own family members without disclosing the relationship, and deleted negative reviews from legitimate former clients — findings that the Complainant's organization, Stop Legal Bullying Now, LLC, cited in three FTC complaints filed in August 2026 alleging a pattern of manufactured ratings the reporting terms “rating laundering.”</w:t>
      </w:r>
    </w:p>
    <w:p w14:paraId="29F482D9" w14:textId="77777777" w:rsidR="006E36CD" w:rsidRDefault="00000000">
      <w:pPr>
        <w:pStyle w:val="ListParagraph"/>
        <w:numPr>
          <w:ilvl w:val="0"/>
          <w:numId w:val="1"/>
        </w:numPr>
        <w:spacing w:after="120" w:line="276" w:lineRule="auto"/>
      </w:pPr>
      <w:r>
        <w:rPr>
          <w:b/>
          <w:bCs/>
        </w:rPr>
        <w:t xml:space="preserve">Additional alleged victims — Gail Echols and Valeriya Ruzynska: </w:t>
      </w:r>
      <w:r>
        <w:t>A May 26, 2026 consumer alert accompanying the “Damn Lawyers: Probate Plot” episode reports two further individuals describing a similar pattern. Gail Echols, a client of Abaza, Borunda, and Trevino in a probate dispute involving a family-owned tugboat business, is reported to have been charged a 40% contingency fee and, after a reported approximately $1 million settlement, to have received just over $300,000; her subsequent malpractice counsel reportedly sought return of more than $100,000 in fees in the case styled Echols v. Abaza, and Echols states no money was returned. The same reporting states that Valeriya Ruzynska retained Borunda and Abaza to enforce a divorce decree following her ex-husband’s death (an estate reportedly valued at approximately $3.5 million), and reports that she felt pressured into settlement positions she did not agree with, was discouraged from questioning the legal strategy, and ended the representation after learning of the other allegations against the same attorneys. See Ex. 15.</w:t>
      </w:r>
    </w:p>
    <w:p w14:paraId="244C90E1" w14:textId="77777777" w:rsidR="006E36CD" w:rsidRDefault="00000000">
      <w:pPr>
        <w:spacing w:after="160" w:line="276" w:lineRule="auto"/>
      </w:pPr>
      <w:r>
        <w:t xml:space="preserve">Taken as a whole, the Complainant offers this reporting to show that the incentive structure and business practices attributed to Borunda, Abaza, and Trevino — pressuring clients into litigation, converting fee arrangements once a large recovery became likely, and manufacturing a favorable public reputation through undisclosed family reviews — are documented independently of this complaint, through separate investigative reporting, separate consumer complaints, separate regulatory filings, and now multiple individual clients describing a substantially similar pattern. The Complainant contends this context </w:t>
      </w:r>
      <w:r>
        <w:lastRenderedPageBreak/>
        <w:t>is relevant to why Ashby’s undisclosed relationships with attorneys connected to this case are not a peripheral concern: an arbitrator's failure to disclose a personal and financial relationship carries more weight when the party benefiting from that relationship has an independently documented pattern of extracting value from clients through incomplete disclosure. See Ex. 1(a)–(f), Ex. 2, and Ex. 15.</w:t>
      </w:r>
    </w:p>
    <w:p w14:paraId="4C0A11E1" w14:textId="77777777" w:rsidR="006D0B30" w:rsidRDefault="00000000">
      <w:pPr>
        <w:spacing w:after="160" w:line="276" w:lineRule="auto"/>
      </w:pPr>
      <w:r>
        <w:rPr>
          <w:b/>
          <w:bCs/>
        </w:rPr>
        <w:t xml:space="preserve">Confirmed State Bar Investigation: </w:t>
      </w:r>
      <w:r>
        <w:t>Independent of the SCJC process invoked by this complaint, the State Bar of Texas, Office of the Chief Disciplinary Counsel, has separately confirmed by letter dated May 13, 2026 (Case No. 202602916, “Richard Allison – Anne Ashby”) that the underlying bar grievance filed April 7, 2026 was reviewed under Rule 2.10 of the Texas Rules of Disciplinary Procedure, that the information provided “alleges Professional Misconduct or a Disability, or both,” that the grievance satisfies the requirements of Rule 1.06G, and that the matter is proceeding to investigation, with the Respondent to be provided a copy of the Complaint and directed to respond. See Ex. 22. The Complainant offers this development as an independently confirmed procedural fact — a formal disciplinary-authority determination, not investigative reporting — relevant to the Commission’s assessment of whether Ashby’s conduct in this matter and others warrants the same scrutiny.</w:t>
      </w:r>
    </w:p>
    <w:p w14:paraId="285EDD9C" w14:textId="77777777" w:rsidR="006E36CD" w:rsidRDefault="00000000">
      <w:pPr>
        <w:pStyle w:val="Heading1"/>
        <w:spacing w:before="320" w:after="160"/>
      </w:pPr>
      <w:r>
        <w:rPr>
          <w:b/>
          <w:bCs/>
          <w:caps/>
          <w:color w:val="1B2A4A"/>
          <w:sz w:val="24"/>
          <w:szCs w:val="24"/>
        </w:rPr>
        <w:t>IV. Detailed Factual Specifications</w:t>
      </w:r>
    </w:p>
    <w:p w14:paraId="5A68634A" w14:textId="77777777" w:rsidR="006E36CD" w:rsidRDefault="00000000">
      <w:pPr>
        <w:pStyle w:val="Heading2"/>
        <w:spacing w:before="240" w:after="120"/>
      </w:pPr>
      <w:r>
        <w:rPr>
          <w:b/>
          <w:bCs/>
          <w:sz w:val="22"/>
          <w:szCs w:val="22"/>
        </w:rPr>
        <w:t>Count 1: False Oath and Concealment of the Michael Collins Relationship</w:t>
      </w:r>
    </w:p>
    <w:p w14:paraId="71B601DE" w14:textId="77777777" w:rsidR="006E36CD" w:rsidRDefault="00000000">
      <w:pPr>
        <w:spacing w:after="160" w:line="276" w:lineRule="auto"/>
      </w:pPr>
      <w:r>
        <w:t>On September 30, 2022, Ashby signed the AAA General Arbitrator Oath, certifying under oath that she had conducted a diligent conflict check — stating specifically that she “conducted a computerized conflicts search within Shields Legal Group” and “discovered no conflicts” — and answering “No” to whether she had any professional or social relationship with parties or witnesses. The record contradicts those sworn answers. Michael Collins, a central attorney in the underlying probate dispute from which the arbitration arose, had personally represented Ashby in her divorce, subsequently employed her at his firm, and maintained a professional and financial relationship with her spanning approximately 35–40 years — a duration Collins himself has reportedly confirmed.</w:t>
      </w:r>
    </w:p>
    <w:p w14:paraId="6E72A8BE" w14:textId="77777777" w:rsidR="006E36CD" w:rsidRDefault="00000000">
      <w:pPr>
        <w:spacing w:after="160" w:line="276" w:lineRule="auto"/>
      </w:pPr>
      <w:r>
        <w:t>Ashby did not disclose any aspect of the Collins relationship before her October 19, 2022 appointment. A partial disclosure did not come until June 15, 2023 — more than eight months into the proceeding and only days before her reaffirmation — and even then the disclosure was narrow and dated: a six-month period of shared practice in 1986, and a two-year association at Collins Basinger &amp; Pullman ending in 2011. That disclosure omitted the divorce representation entirely, omitted that the relationship continued for approximately another decade beyond 2011, and omitted the financial context described in Count 2 below. A relationship the Complainant contends spans 35–40 years cannot be discharged by disclosing roughly two and a half years of it.</w:t>
      </w:r>
    </w:p>
    <w:p w14:paraId="3FC06E0B" w14:textId="77777777" w:rsidR="006E36CD" w:rsidRDefault="00000000">
      <w:pPr>
        <w:spacing w:after="160" w:line="276" w:lineRule="auto"/>
      </w:pPr>
      <w:r>
        <w:t>The record independently corroborates that Collins’s name was placed before the tribunal well before Ashby’s own disclosures caught up to it — and remained there repeatedly thereafter. On December 9, 2022, the Lawyers filed their Answering Statement to Richard Allison’s Statement of Claims, attaching as Exhibit F a Collin County Probate Court order bearing the signature block “/s/ Michael J. Collins, MICHAEL J. COLLINS, Counsel for Robin Allison,” filed under a certificate of service reciting that the document was served on all parties. See Ex. 14. This appears to be the earliest filing in the arbitration case record identifying Collins by name and role — more than six months before Ashby’s first partial disclosure on June 15, 2023, and roughly ten months before her fullest disclosure. The Complainant requests that the Commission confirm through the AAA case docket whether and when this filing, and its exhibit, reached Ashby in her capacity as arbitrator.</w:t>
      </w:r>
    </w:p>
    <w:p w14:paraId="544A80EC" w14:textId="77777777" w:rsidR="006E36CD" w:rsidRDefault="00000000">
      <w:pPr>
        <w:spacing w:after="160" w:line="276" w:lineRule="auto"/>
      </w:pPr>
      <w:r>
        <w:t xml:space="preserve">Collins’s name resurfaced even more explicitly seven months later. On July 11, 2023 — three and a half weeks after Ashby’s partial June 15 disclosure and three weeks after her June 21 reaffirmation — counsel for Borunda, Abaza, and Trevino filed “The Lawyers’ Witness Disclosures and Amended Checklist for Conflicts,” which lists Michael J. Collins and his associate Deborah Jordan, of The Collins Law Group, by name, firm address, and telephone number as witnesses, and identifies Collins specifically as “Counsel for Robin Allison.” This filing was served on all parties under the certificate of service required by the Arbitrator’s own January 10, 2023 Arbitration Order and Preliminary Order No. 1. Between the two filings, Collins’s name and role were placed in the live case record — by the very attorneys whose fee theories and damages figures </w:t>
      </w:r>
      <w:r>
        <w:lastRenderedPageBreak/>
        <w:t>the Final Award later adopted in substantial part — before, during, and after the period in which Ashby’s own disclosures remained incomplete. See Ex. 11.</w:t>
      </w:r>
    </w:p>
    <w:p w14:paraId="4940D146" w14:textId="77777777" w:rsidR="006E36CD" w:rsidRDefault="00000000">
      <w:pPr>
        <w:pStyle w:val="Heading2"/>
        <w:spacing w:before="240" w:after="120"/>
      </w:pPr>
      <w:r>
        <w:rPr>
          <w:b/>
          <w:bCs/>
          <w:sz w:val="22"/>
          <w:szCs w:val="22"/>
        </w:rPr>
        <w:t>Count 2: Concealment of Financial Dependency and the “Anne Duren” Bankruptcy</w:t>
      </w:r>
    </w:p>
    <w:p w14:paraId="56A947B7" w14:textId="77777777" w:rsidR="006E36CD" w:rsidRDefault="00000000">
      <w:pPr>
        <w:spacing w:after="160" w:line="276" w:lineRule="auto"/>
      </w:pPr>
      <w:r>
        <w:t>Public records indicate that Ashby, under the name Anne Duren, filed a Chapter 7 bankruptcy petition on April 29, 2009 — the same month she joined Michael Collins’s firm, Collins Basinger &amp; Pullman, in a director-level role. That case, In re Michael Duren and Anne Duren, Case No. 09-10216 (Bankr. E.D. Tex., Beaumont Div.), is documented in Ex. 24(a)–(h); the petition date is independently confirmed in the Trustee’s Motion to Compel Turnover, Ex. 24(b) ¶3. The debtor’s own bankruptcy schedule further corroborates that “Anne Duren” and “Anne Ashby” are the same person: the Amended Schedule F filed February 17, 2010 (Ex. 24(d)) lists as a notice-only party “Friends of Anne Ashby, c/o Barbara Tatum, 3606 Pebble Beach, Farmers Branch, Texas” — apparently Ashby’s own judicial campaign committee — appearing directly on Anne Duren’s sworn schedule of creditors. The bankruptcy schedules reportedly list only judicial pension income and do not disclose income from the Collins firm; bankruptcy schedules are signed under penalty of perjury. This sequence — leaving the bench, filing personal bankruptcy, and being hired by Collins in the same month — supports a reasonable inference that the Collins relationship carried a financial-dependency dimension that was never disclosed to the Allison siblings, even as Ashby’s own Final Award fixed her personal arbitrator’s fee at $133,318.81 (separate from $56,225.00 in AAA administrative fees), both assessed against the Allisons — creating an ongoing financial incentive to remain on the matter rather than recuse.</w:t>
      </w:r>
    </w:p>
    <w:p w14:paraId="373116CA" w14:textId="77777777" w:rsidR="006E36CD" w:rsidRDefault="00000000">
      <w:pPr>
        <w:spacing w:after="160" w:line="276" w:lineRule="auto"/>
      </w:pPr>
      <w:r>
        <w:t>The Commission should determine whether the use of the name “Anne Duren” in connection with this filing, and the accuracy of the sworn bankruptcy schedules, warrant referral or further inquiry.</w:t>
      </w:r>
    </w:p>
    <w:p w14:paraId="71441F04" w14:textId="77777777" w:rsidR="006E36CD" w:rsidRDefault="00000000">
      <w:pPr>
        <w:pStyle w:val="Heading2"/>
        <w:spacing w:before="240" w:after="120"/>
      </w:pPr>
      <w:r>
        <w:rPr>
          <w:b/>
          <w:bCs/>
          <w:sz w:val="22"/>
          <w:szCs w:val="22"/>
        </w:rPr>
        <w:t>Count 3: Undisclosed Relationships with Keith Staubus and Steven L. Besly</w:t>
      </w:r>
    </w:p>
    <w:p w14:paraId="5D66E246" w14:textId="77777777" w:rsidR="006E36CD" w:rsidRDefault="00000000">
      <w:pPr>
        <w:spacing w:after="160" w:line="276" w:lineRule="auto"/>
      </w:pPr>
      <w:r>
        <w:t>Robin Allison, the Complainant’s stepmother and adverse party in the underlying probate dispute from which this arbitration arose, was represented in that dispute by Michael Collins and his law partner, Steven L. Besly, of the Collins Law Group — counsel bitterly adverse to the Complainant and her brother throughout the underlying litigation, and who obtained sanctions against them in that proceeding. Ashby’s undisclosed connections were not limited to Collins individually; they extended to his law firm and his law partner.</w:t>
      </w:r>
    </w:p>
    <w:p w14:paraId="4F038101" w14:textId="77777777" w:rsidR="006E36CD" w:rsidRDefault="00000000">
      <w:pPr>
        <w:spacing w:after="160" w:line="276" w:lineRule="auto"/>
      </w:pPr>
      <w:r>
        <w:t>Keith Staubus served as an expert witness aligned with the attorneys seeking fees and, according to his own expert report, practiced alongside Michael Collins at Smith, Underwood, Carmichael and Floyd from 1983 to 1992 — the same firm where Ashby herself worked. Ashby’s June 2023 supplemental disclosure did not specify that she had worked with both Collins and Staubus at that firm, describing only that she “knew” them.</w:t>
      </w:r>
    </w:p>
    <w:p w14:paraId="5478DA94" w14:textId="77777777" w:rsidR="006E36CD" w:rsidRDefault="00000000">
      <w:pPr>
        <w:spacing w:after="160" w:line="276" w:lineRule="auto"/>
      </w:pPr>
      <w:r>
        <w:t>Separately, Steven L. Besly — Collins’s law partner at the Collins Law Group, and thus counsel for Robin Allison in the dispute underlying this arbitration — served on and off since 2011 as the registered agent for the Law Office of Anne Ashby, PLLC, continuing through the arbitration itself. This is a materially longer and closer undisclosed connection than a mere professional overlap: Ashby’s own business filings depended, during the pendency of this case, on a person from the same two-lawyer firm representing the party adverse to the Complainant. Neither the Staubus overlap at Smith Underwood nor the Besly registered-agent relationship was ever disclosed.</w:t>
      </w:r>
    </w:p>
    <w:p w14:paraId="3B664A17" w14:textId="77777777" w:rsidR="006E36CD" w:rsidRDefault="00000000">
      <w:pPr>
        <w:pStyle w:val="Heading2"/>
        <w:spacing w:before="240" w:after="120"/>
      </w:pPr>
      <w:r>
        <w:rPr>
          <w:b/>
          <w:bCs/>
          <w:sz w:val="22"/>
          <w:szCs w:val="22"/>
        </w:rPr>
        <w:t>Count 4: Evident Partiality During the Proceeding</w:t>
      </w:r>
    </w:p>
    <w:p w14:paraId="5E352487" w14:textId="77777777" w:rsidR="006E36CD" w:rsidRDefault="00000000">
      <w:pPr>
        <w:spacing w:after="160" w:line="276" w:lineRule="auto"/>
      </w:pPr>
      <w:r>
        <w:t>The disclosure failures above cannot be assessed in isolation from the conduct of the arbitration itself. The record reflects that Ashby:</w:t>
      </w:r>
    </w:p>
    <w:p w14:paraId="37C73685" w14:textId="77777777" w:rsidR="006E36CD" w:rsidRDefault="00000000">
      <w:pPr>
        <w:pStyle w:val="ListParagraph"/>
        <w:numPr>
          <w:ilvl w:val="0"/>
          <w:numId w:val="1"/>
        </w:numPr>
        <w:spacing w:after="120" w:line="276" w:lineRule="auto"/>
      </w:pPr>
      <w:r>
        <w:t>refused to permit live testimony from the Complainant’s expert witnesses (Sarah Pacheco on trust law, Rob Hancock on damages) despite their presence and readiness to testify, while permitting the opposing side’s expert, Nicholas Abaza, to testify live;</w:t>
      </w:r>
    </w:p>
    <w:p w14:paraId="7083603C" w14:textId="77777777" w:rsidR="006E36CD" w:rsidRDefault="00000000">
      <w:pPr>
        <w:pStyle w:val="ListParagraph"/>
        <w:numPr>
          <w:ilvl w:val="0"/>
          <w:numId w:val="1"/>
        </w:numPr>
        <w:spacing w:after="120" w:line="276" w:lineRule="auto"/>
      </w:pPr>
      <w:r>
        <w:t>excluded testimony from Gail Echols, a former client of the same attorneys with a substantially similar fact pattern, ruling the evidence categorically irrelevant;</w:t>
      </w:r>
    </w:p>
    <w:p w14:paraId="7B0FC86B" w14:textId="77777777" w:rsidR="006E36CD" w:rsidRDefault="00000000">
      <w:pPr>
        <w:pStyle w:val="ListParagraph"/>
        <w:numPr>
          <w:ilvl w:val="0"/>
          <w:numId w:val="1"/>
        </w:numPr>
        <w:spacing w:after="120" w:line="276" w:lineRule="auto"/>
      </w:pPr>
      <w:r>
        <w:lastRenderedPageBreak/>
        <w:t>issued Order No. 6 / Omnibus Order No. 2 (Sept. 13, 2023) freezing a Charles Schwab brokerage account belonging to Minaki Limited Partnership — an entity never sued in the arbitration;</w:t>
      </w:r>
    </w:p>
    <w:p w14:paraId="27889CFF" w14:textId="77777777" w:rsidR="006E36CD" w:rsidRDefault="00000000">
      <w:pPr>
        <w:pStyle w:val="ListParagraph"/>
        <w:numPr>
          <w:ilvl w:val="0"/>
          <w:numId w:val="1"/>
        </w:numPr>
        <w:spacing w:after="120" w:line="276" w:lineRule="auto"/>
      </w:pPr>
      <w:r>
        <w:t>ordered the Allison siblings, in their capacity as trustees of an irrevocable spendthrift trust that was never a party to the arbitration and never signed any arbitration agreement, to liquidate trust assets to satisfy a personal judgment; and</w:t>
      </w:r>
    </w:p>
    <w:p w14:paraId="3EFB9A4F" w14:textId="77777777" w:rsidR="006E36CD" w:rsidRDefault="00000000">
      <w:pPr>
        <w:pStyle w:val="ListParagraph"/>
        <w:numPr>
          <w:ilvl w:val="0"/>
          <w:numId w:val="1"/>
        </w:numPr>
        <w:spacing w:after="120" w:line="276" w:lineRule="auto"/>
      </w:pPr>
      <w:r>
        <w:t>issued a Final Award that adopted the prevailing attorneys’ damages figures, causes of action, and “intertwined and inseparable” fee-recovery theory without independent recalculation, relying substantially on the fee affidavit of the attorneys’ own counsel, and awarded prejudgment interest from a date (April 13, 2021) that preceded any fee demand or accounting.</w:t>
      </w:r>
    </w:p>
    <w:p w14:paraId="555BA0F7" w14:textId="77777777" w:rsidR="006E36CD" w:rsidRDefault="00000000">
      <w:pPr>
        <w:spacing w:after="160" w:line="276" w:lineRule="auto"/>
      </w:pPr>
      <w:r>
        <w:t>Standing alone, adverse rulings do not establish misconduct. Considered together with the undisclosed relationships in Counts 1–3, however, this pattern raises a reasonable appearance that Ashby’s neutrality could be questioned — precisely the appearance her oath was designed to prevent. As set out in Section VII below, a similar disconnect between reasoning quality and the sophistication of the losing party recurs across other arbitrations Ashby has presided over.</w:t>
      </w:r>
    </w:p>
    <w:p w14:paraId="373AFC85" w14:textId="77777777" w:rsidR="006E36CD" w:rsidRDefault="00000000">
      <w:pPr>
        <w:pStyle w:val="Heading2"/>
        <w:spacing w:before="240" w:after="120"/>
      </w:pPr>
      <w:r>
        <w:rPr>
          <w:b/>
          <w:bCs/>
          <w:sz w:val="22"/>
          <w:szCs w:val="22"/>
        </w:rPr>
        <w:t>Count 5: Failure to Provide a Reasoned, Independent Decision</w:t>
      </w:r>
    </w:p>
    <w:p w14:paraId="6CF65D85" w14:textId="77777777" w:rsidR="006E36CD" w:rsidRDefault="00000000">
      <w:pPr>
        <w:spacing w:after="160" w:line="276" w:lineRule="auto"/>
      </w:pPr>
      <w:r>
        <w:t>The parties agreed that the arbitrator would issue a reasoned award. For a proceeding in which Ashby’s own Final Award fixed her personal compensation at $133,318.81, Ashby produced a 24-page final report that the Complainant contends adopted the Lawyers’ proposed award in substantial part — mirroring the prevailing attorneys’ post-hearing brief and requested figures — without addressing the Complainant’s fiduciary-duty, fraudulent-inducement, or conflict-of-interest arguments in any detail. Combined with the undisclosed relationships identified above, the absence of independent reasoning further supports investigation into whether Ashby exercised independent judgment as required by Canon 3.</w:t>
      </w:r>
    </w:p>
    <w:p w14:paraId="426EA40A" w14:textId="77777777" w:rsidR="006E36CD" w:rsidRDefault="00000000">
      <w:pPr>
        <w:pStyle w:val="Heading2"/>
        <w:spacing w:before="240" w:after="120"/>
      </w:pPr>
      <w:r>
        <w:rPr>
          <w:b/>
          <w:bCs/>
          <w:sz w:val="22"/>
          <w:szCs w:val="22"/>
        </w:rPr>
        <w:t>The Financial Architecture of the Award</w:t>
      </w:r>
    </w:p>
    <w:p w14:paraId="2997DCB1" w14:textId="77777777" w:rsidR="006E36CD" w:rsidRDefault="00000000">
      <w:pPr>
        <w:spacing w:after="160" w:line="276" w:lineRule="auto"/>
      </w:pPr>
      <w:r>
        <w:t>The Complainant sets out below how the undisclosed conflicts identified in Counts 1–3 connect directly to the dollar figures in the Final Award and Final Judgment, rather than remaining an abstract disclosure question. The Final Judgment, signed July 15, 2024 (Ex. 8(e)), entered a combined principal judgment against Richard Allison, Jr. and Caroline Allison of $2,769,065.48 in breach-of-contract damages ($1,416,915.68 against Mr. Allison and $1,352,149.80 against Ms. Allison), on top of which the judgment adds $823,017.04 in pre-judgment interest and $376,013.93 in attorneys’ fees and expenses — a total exceeding $4 million. The Complainant contends this award was not independently derived but adopted the Lawyers’ proposed figures and legal theories in substantial part.</w:t>
      </w:r>
    </w:p>
    <w:p w14:paraId="41FA2999" w14:textId="77777777" w:rsidR="006E36CD" w:rsidRDefault="00000000">
      <w:pPr>
        <w:spacing w:after="160" w:line="276" w:lineRule="auto"/>
      </w:pPr>
      <w:r>
        <w:t>The arbitration costs are now precisely known from the Final Award itself, as quoted in the pending Petition for Review (Ex. 17): Ashby fixed her own personal compensation at $133,318.81 and separately assessed $56,225.00 in AAA administrative fees — both borne by the Allisons. Both sides had contributed toward these costs as they accrued over the roughly 18-month proceeding; the Final Award and Final Judgment then shifted the full $189,543.81 combined total onto the Allisons alone, with the Final Judgment separately enforcing $78,456.27 as the specific reimbursement owed to the Lawyers for the portion of that total they had already advanced. $133,318.81 in personal compensation for a single arbitration is, so far as the Complainant has been able to determine, the highest confirmed fee Ashby is known to have earned in any single matter — substantially exceeding even the $68,450.38 she earned for a single hearing day in the Logsdon matter. See Section VII(B), below.</w:t>
      </w:r>
    </w:p>
    <w:p w14:paraId="351AAE5F" w14:textId="77777777" w:rsidR="006E36CD" w:rsidRDefault="00000000">
      <w:pPr>
        <w:spacing w:after="160" w:line="276" w:lineRule="auto"/>
      </w:pPr>
      <w:r>
        <w:t>Within that award, Ashby granted the Lawyers $53,100 in fees for expert witness Keith Staubus — the same expert witness whose decades-long professional tie to Michael Collins is set out in Count 3, above. The undisclosed conflict was accordingly not incidental to the case; it ran directly through the financial architecture of the award itself: an arbitrator with an undisclosed 35–40 year relationship to Robin Allison’s counsel, whose own business affairs were intertwined with that counsel’s law partner, awarded a six-figure fee to an expert professionally tied to that same counsel, inside a judgment that adopted the Lawyers’ own proposed figures. See Ex. 8(c) (fee affidavit).</w:t>
      </w:r>
    </w:p>
    <w:p w14:paraId="5BA0398B" w14:textId="77777777" w:rsidR="006E36CD" w:rsidRDefault="00000000">
      <w:pPr>
        <w:pStyle w:val="Heading2"/>
        <w:spacing w:before="240" w:after="120"/>
      </w:pPr>
      <w:r>
        <w:rPr>
          <w:b/>
          <w:bCs/>
          <w:sz w:val="22"/>
          <w:szCs w:val="22"/>
        </w:rPr>
        <w:t>Count 6: Disregard of Governing Law — Now Subject to Texas Supreme Court Review</w:t>
      </w:r>
    </w:p>
    <w:p w14:paraId="2CCC6AD4" w14:textId="77777777" w:rsidR="006E36CD" w:rsidRDefault="00000000">
      <w:pPr>
        <w:spacing w:after="160" w:line="276" w:lineRule="auto"/>
      </w:pPr>
      <w:r>
        <w:lastRenderedPageBreak/>
        <w:t>Beyond the disclosure and partiality concerns in Counts 1–5, Ashby’s Final Award directed relief that the Complainant contends Texas law does not permit — and that disregard is not merely the Complainant’s characterization. It is the basis of a pending Petition for Review before the Texas Supreme Court, filed August 3, 2026 (No. 26-0428) (Ex. 17).</w:t>
      </w:r>
    </w:p>
    <w:p w14:paraId="392B1EFB" w14:textId="77777777" w:rsidR="006E36CD" w:rsidRDefault="00000000">
      <w:pPr>
        <w:spacing w:after="160" w:line="276" w:lineRule="auto"/>
      </w:pPr>
      <w:r>
        <w:t>Arbitration is not lawless. “An arbitrator derives his power from the parties’ agreement,” and courts and arbitrators alike must give effect to the contractual rights the parties bargained for. Nafta Traders, Inc. v. Quinn, 339 S.W.3d 84, 90 (Tex. 2011). Texas law provides that an award “shall” be vacated where the arbitrator exceeded her powers. Tex. Civ. Prac. &amp; Rem. Code §171.088(a); accord 9 U.S.C. §10(a)(4). An arbitrator “exceeds [her] authority when [her] award simply reflects [her] own notions of economic justice instead of drawing its essence from the contract.” Denbury Onshore, LLC v. Texcal Energy S. Tex., L.P., 513 S.W.3d 511, 520 (Tex. App.—Houston [14th Dist.] 2016, no pet.) (citing Oxford Health Plans LLC v. Sutter, 569 U.S. 564, 569 (2013)); accord Stolt-Nielsen S.A. v. AnimalFeeds Int’l, 559 U.S. 662, 671 (2010) (an arbitrator who strays from interpreting and applying the parties’ agreement instead “effectively dispense[s] his own brand of industrial justice”).</w:t>
      </w:r>
    </w:p>
    <w:p w14:paraId="46506677" w14:textId="77777777" w:rsidR="006E36CD" w:rsidRDefault="00000000">
      <w:pPr>
        <w:spacing w:after="160" w:line="276" w:lineRule="auto"/>
      </w:pPr>
      <w:r>
        <w:t>The pending petition contends Ashby did precisely what no court could lawfully do. Although arbitration demands were brought against the Complainant and her brother only in their individual capacities, Ashby ordered a freeze on a Charles Schwab account belonging to Minaki Limited Partnership — an entity that was never a party to any contract at issue or to the arbitration — and separately ordered the Complainant and her brother to act in their distinct capacities as trustees of the Allison Family Trust and liquidate trust assets to satisfy a judgment entered against them individually, notwithstanding the creditor-protection provisions of Texas Property Code §112.035(a)–(b) governing spendthrift trusts. “It is a principle of general application in Anglo–American jurisprudence that one is not bound by a judgment . . . in a litigation in which he is not designated as a party.” Taylor v. Sturgell, 553 U.S. 880, 884 (2008). The Fourteenth Court of Appeals affirmed without addressing this threshold jurisdictional defect — in the pending petition’s characterization, a violation of Texas Rule of Appellate Procedure 47.1.</w:t>
      </w:r>
    </w:p>
    <w:p w14:paraId="1577B08F" w14:textId="77777777" w:rsidR="006E36CD" w:rsidRDefault="00000000">
      <w:pPr>
        <w:spacing w:after="160" w:line="276" w:lineRule="auto"/>
      </w:pPr>
      <w:r>
        <w:t>The Commission need not resolve the merits of that pending appeal to find it relevant here. Whatever the Supreme Court ultimately decides, the fact that a sitting arbitrator’s award is now before the state’s highest civil court on the ground that she exceeded the most basic limits of arbitral authority — binding non-parties, reaching a distinct entity’s assets, and overriding a statutory spendthrift protection — is not an ordinary adverse ruling. It is evidence that the same law any Texas district or appellate court would have been obligated to apply was, on this record, not applied. An arbitrator’s undisclosed conflicts of interest are more troubling, not less, when the award they produced already appears substantial enough to warrant review by the Texas Supreme Court on the merits.</w:t>
      </w:r>
    </w:p>
    <w:p w14:paraId="2BBD22CF" w14:textId="77777777" w:rsidR="006E36CD" w:rsidRDefault="00000000">
      <w:pPr>
        <w:pStyle w:val="Heading1"/>
        <w:spacing w:before="320" w:after="160"/>
      </w:pPr>
      <w:r>
        <w:rPr>
          <w:b/>
          <w:bCs/>
          <w:caps/>
          <w:color w:val="1B2A4A"/>
          <w:sz w:val="24"/>
          <w:szCs w:val="24"/>
        </w:rPr>
        <w:t>V. Chronology of Disclosed and Undisclosed Conflicts</w:t>
      </w:r>
    </w:p>
    <w:p w14:paraId="11ED3645" w14:textId="77777777" w:rsidR="006E36CD" w:rsidRDefault="00000000">
      <w:pPr>
        <w:spacing w:after="160" w:line="276" w:lineRule="auto"/>
      </w:pPr>
      <w:r>
        <w:t>(The entries below reflect the Complainant’s understanding of what was and was not disclosed at each stage.)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3900"/>
        <w:gridCol w:w="3950"/>
      </w:tblGrid>
      <w:tr w:rsidR="006E36CD" w14:paraId="55F3C535" w14:textId="77777777">
        <w:trPr>
          <w:tblHeader/>
        </w:trPr>
        <w:tc>
          <w:tcPr>
            <w:tcW w:w="15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5447AB17" w14:textId="77777777" w:rsidR="006E36CD" w:rsidRDefault="00000000">
            <w:r>
              <w:rPr>
                <w:b/>
                <w:bCs/>
                <w:color w:val="FFFFFF"/>
                <w:sz w:val="18"/>
                <w:szCs w:val="18"/>
              </w:rPr>
              <w:t>Period</w:t>
            </w:r>
          </w:p>
        </w:tc>
        <w:tc>
          <w:tcPr>
            <w:tcW w:w="39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5C7B69C5" w14:textId="77777777" w:rsidR="006E36CD" w:rsidRDefault="00000000">
            <w:r>
              <w:rPr>
                <w:b/>
                <w:bCs/>
                <w:color w:val="FFFFFF"/>
                <w:sz w:val="18"/>
                <w:szCs w:val="18"/>
              </w:rPr>
              <w:t>Disclosed</w:t>
            </w:r>
          </w:p>
        </w:tc>
        <w:tc>
          <w:tcPr>
            <w:tcW w:w="395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0595914C" w14:textId="77777777" w:rsidR="006E36CD" w:rsidRDefault="00000000">
            <w:r>
              <w:rPr>
                <w:b/>
                <w:bCs/>
                <w:color w:val="FFFFFF"/>
                <w:sz w:val="18"/>
                <w:szCs w:val="18"/>
              </w:rPr>
              <w:t>Not Disclosed</w:t>
            </w:r>
          </w:p>
        </w:tc>
      </w:tr>
      <w:tr w:rsidR="006E36CD" w14:paraId="6168DD44"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3E16FBA" w14:textId="77777777" w:rsidR="006E36CD" w:rsidRDefault="00000000">
            <w:r>
              <w:rPr>
                <w:sz w:val="18"/>
                <w:szCs w:val="18"/>
              </w:rPr>
              <w:t>1980s</w:t>
            </w:r>
          </w:p>
        </w:tc>
        <w:tc>
          <w:tcPr>
            <w:tcW w:w="3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A87F481" w14:textId="77777777" w:rsidR="006E36CD" w:rsidRDefault="00000000">
            <w:r>
              <w:rPr>
                <w:sz w:val="18"/>
                <w:szCs w:val="18"/>
              </w:rPr>
              <w:t>A six-month period of shared practice with Collins at Smith Underwood in 1986 (per Ashby’s June 15, 2023 disclosure)</w:t>
            </w:r>
          </w:p>
        </w:tc>
        <w:tc>
          <w:tcPr>
            <w:tcW w:w="3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CBBF312" w14:textId="77777777" w:rsidR="006E36CD" w:rsidRDefault="00000000">
            <w:r>
              <w:rPr>
                <w:sz w:val="18"/>
                <w:szCs w:val="18"/>
              </w:rPr>
              <w:t>That Staubus also worked there; the beginning of what the Complainant contends is a 35+ year relationship</w:t>
            </w:r>
          </w:p>
        </w:tc>
      </w:tr>
      <w:tr w:rsidR="006E36CD" w14:paraId="7383F498"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EFD70D8" w14:textId="77777777" w:rsidR="006E36CD" w:rsidRDefault="00000000">
            <w:r>
              <w:rPr>
                <w:sz w:val="18"/>
                <w:szCs w:val="18"/>
              </w:rPr>
              <w:t>2009</w:t>
            </w:r>
          </w:p>
        </w:tc>
        <w:tc>
          <w:tcPr>
            <w:tcW w:w="3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BDEBA9A" w14:textId="77777777" w:rsidR="006E36CD" w:rsidRDefault="00000000">
            <w:r>
              <w:rPr>
                <w:sz w:val="18"/>
                <w:szCs w:val="18"/>
              </w:rPr>
              <w:t>Nothing</w:t>
            </w:r>
          </w:p>
        </w:tc>
        <w:tc>
          <w:tcPr>
            <w:tcW w:w="3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AA97F43" w14:textId="77777777" w:rsidR="006E36CD" w:rsidRDefault="00000000">
            <w:r>
              <w:rPr>
                <w:sz w:val="18"/>
                <w:szCs w:val="18"/>
              </w:rPr>
              <w:t>Chapter 7 bankruptcy under “Anne Duren”; hire at Collins’s firm the same month; director-level role; no disclosure of firm income on bankruptcy schedules</w:t>
            </w:r>
          </w:p>
        </w:tc>
      </w:tr>
      <w:tr w:rsidR="006E36CD" w14:paraId="6EF109BD"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84B6175" w14:textId="77777777" w:rsidR="006E36CD" w:rsidRDefault="00000000">
            <w:r>
              <w:rPr>
                <w:sz w:val="18"/>
                <w:szCs w:val="18"/>
              </w:rPr>
              <w:t>Sept. 30, 2022</w:t>
            </w:r>
          </w:p>
        </w:tc>
        <w:tc>
          <w:tcPr>
            <w:tcW w:w="3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EE6911B" w14:textId="77777777" w:rsidR="006E36CD" w:rsidRDefault="00000000">
            <w:r>
              <w:rPr>
                <w:sz w:val="18"/>
                <w:szCs w:val="18"/>
              </w:rPr>
              <w:t>“No” to relationships with parties/witnesses (Oath Q4); “no conflicts” per Shields Legal Group computerized search (Disclosure Letter)</w:t>
            </w:r>
          </w:p>
        </w:tc>
        <w:tc>
          <w:tcPr>
            <w:tcW w:w="3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E599D37" w14:textId="77777777" w:rsidR="006E36CD" w:rsidRDefault="00000000">
            <w:r>
              <w:rPr>
                <w:sz w:val="18"/>
                <w:szCs w:val="18"/>
              </w:rPr>
              <w:t>The Collins relationship, the divorce representation, the bankruptcy-era employment — not yet named in the case at this point</w:t>
            </w:r>
          </w:p>
        </w:tc>
      </w:tr>
      <w:tr w:rsidR="006E36CD" w14:paraId="71217A7D"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00F91CB" w14:textId="77777777" w:rsidR="006E36CD" w:rsidRDefault="00000000">
            <w:r>
              <w:rPr>
                <w:sz w:val="18"/>
                <w:szCs w:val="18"/>
              </w:rPr>
              <w:t>Dec. 9, 2022</w:t>
            </w:r>
          </w:p>
        </w:tc>
        <w:tc>
          <w:tcPr>
            <w:tcW w:w="3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058F56E" w14:textId="77777777" w:rsidR="006E36CD" w:rsidRDefault="00000000">
            <w:r>
              <w:rPr>
                <w:sz w:val="18"/>
                <w:szCs w:val="18"/>
              </w:rPr>
              <w:t>Nothing by Ashby herself</w:t>
            </w:r>
          </w:p>
        </w:tc>
        <w:tc>
          <w:tcPr>
            <w:tcW w:w="3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FCC7140" w14:textId="77777777" w:rsidR="006E36CD" w:rsidRDefault="00000000">
            <w:r>
              <w:rPr>
                <w:sz w:val="18"/>
                <w:szCs w:val="18"/>
              </w:rPr>
              <w:t xml:space="preserve">The Lawyers’ Dec. 9, 2022 Answering Statement (Ex. 14) places Michael J. Collins’s name and role as “Counsel for Robin Allison” in the written case record for the first time, via the signature block on </w:t>
            </w:r>
            <w:r>
              <w:rPr>
                <w:sz w:val="18"/>
                <w:szCs w:val="18"/>
              </w:rPr>
              <w:lastRenderedPageBreak/>
              <w:t>an attached exhibit — six-plus months before Ashby’s own partial acknowledgment</w:t>
            </w:r>
          </w:p>
        </w:tc>
      </w:tr>
      <w:tr w:rsidR="006E36CD" w14:paraId="2E9F1EC4"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C65103D" w14:textId="77777777" w:rsidR="006E36CD" w:rsidRDefault="00000000">
            <w:r>
              <w:rPr>
                <w:sz w:val="18"/>
                <w:szCs w:val="18"/>
              </w:rPr>
              <w:lastRenderedPageBreak/>
              <w:t>Jun. 5, 2023</w:t>
            </w:r>
          </w:p>
        </w:tc>
        <w:tc>
          <w:tcPr>
            <w:tcW w:w="3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C2CAD2E" w14:textId="77777777" w:rsidR="006E36CD" w:rsidRDefault="00000000">
            <w:r>
              <w:rPr>
                <w:sz w:val="18"/>
                <w:szCs w:val="18"/>
              </w:rPr>
              <w:t>Minor mediation overlaps with other experts</w:t>
            </w:r>
          </w:p>
        </w:tc>
        <w:tc>
          <w:tcPr>
            <w:tcW w:w="3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8FCA052" w14:textId="77777777" w:rsidR="006E36CD" w:rsidRDefault="00000000">
            <w:r>
              <w:rPr>
                <w:sz w:val="18"/>
                <w:szCs w:val="18"/>
              </w:rPr>
              <w:t>Staubus’s decades-long tie to Collins; Besly’s registered-agent role</w:t>
            </w:r>
          </w:p>
        </w:tc>
      </w:tr>
      <w:tr w:rsidR="006E36CD" w14:paraId="64126297"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96C08CA" w14:textId="77777777" w:rsidR="006E36CD" w:rsidRDefault="00000000">
            <w:r>
              <w:rPr>
                <w:sz w:val="18"/>
                <w:szCs w:val="18"/>
              </w:rPr>
              <w:t>Jun. 15, 2023</w:t>
            </w:r>
          </w:p>
        </w:tc>
        <w:tc>
          <w:tcPr>
            <w:tcW w:w="3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09A0114" w14:textId="77777777" w:rsidR="006E36CD" w:rsidRDefault="00000000">
            <w:r>
              <w:rPr>
                <w:sz w:val="18"/>
                <w:szCs w:val="18"/>
              </w:rPr>
              <w:t>Six months of shared practice in 1986; two-year association at Collins Basinger &amp; Pullman ending 2011</w:t>
            </w:r>
          </w:p>
        </w:tc>
        <w:tc>
          <w:tcPr>
            <w:tcW w:w="3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F2831FC" w14:textId="77777777" w:rsidR="006E36CD" w:rsidRDefault="00000000">
            <w:r>
              <w:rPr>
                <w:sz w:val="18"/>
                <w:szCs w:val="18"/>
              </w:rPr>
              <w:t>The divorce representation; 35+ year overall duration; bankruptcy timing; director-level role; ongoing Besly ties through the Collins Law Group</w:t>
            </w:r>
          </w:p>
        </w:tc>
      </w:tr>
      <w:tr w:rsidR="006E36CD" w14:paraId="50B38026"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05D3716" w14:textId="77777777" w:rsidR="006E36CD" w:rsidRDefault="00000000">
            <w:r>
              <w:rPr>
                <w:sz w:val="18"/>
                <w:szCs w:val="18"/>
              </w:rPr>
              <w:t>Jul. 11, 2023</w:t>
            </w:r>
          </w:p>
        </w:tc>
        <w:tc>
          <w:tcPr>
            <w:tcW w:w="3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31726FB" w14:textId="77777777" w:rsidR="006E36CD" w:rsidRDefault="00000000">
            <w:r>
              <w:rPr>
                <w:sz w:val="18"/>
                <w:szCs w:val="18"/>
              </w:rPr>
              <w:t>Nothing further by Ashby herself</w:t>
            </w:r>
          </w:p>
        </w:tc>
        <w:tc>
          <w:tcPr>
            <w:tcW w:w="3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A3F1273" w14:textId="77777777" w:rsidR="006E36CD" w:rsidRDefault="00000000">
            <w:r>
              <w:rPr>
                <w:sz w:val="18"/>
                <w:szCs w:val="18"/>
              </w:rPr>
              <w:t>That Collins — named this same week as a witness/counsel of record by the opposing Lawyers’ own filing (Ex. 11) — carried the 35+ year, financially-dependent relationship Ashby had only partially acknowledged 3.5 weeks earlier</w:t>
            </w:r>
          </w:p>
        </w:tc>
      </w:tr>
    </w:tbl>
    <w:p w14:paraId="11480F65" w14:textId="77777777" w:rsidR="006E36CD" w:rsidRDefault="00000000">
      <w:pPr>
        <w:pStyle w:val="Heading1"/>
        <w:spacing w:before="320" w:after="160"/>
      </w:pPr>
      <w:r>
        <w:rPr>
          <w:b/>
          <w:bCs/>
          <w:caps/>
          <w:color w:val="1B2A4A"/>
          <w:sz w:val="24"/>
          <w:szCs w:val="24"/>
        </w:rPr>
        <w:t>VI. Confirmed Independent SCJC Complaint — Mark Logsdon v. Hon. Anne Ashby (Ret.)</w:t>
      </w:r>
    </w:p>
    <w:p w14:paraId="14834426" w14:textId="77777777" w:rsidR="006E36CD" w:rsidRDefault="00000000">
      <w:pPr>
        <w:spacing w:after="160" w:line="276" w:lineRule="auto"/>
      </w:pPr>
      <w:r>
        <w:t xml:space="preserve">Since the Complainant’s initial investigation into this matter, </w:t>
      </w:r>
      <w:r>
        <w:rPr>
          <w:b/>
          <w:bCs/>
        </w:rPr>
        <w:t>Mark Logsdon has filed his own sworn, notarized State Commission on Judicial Conduct complaint against Anne Ashby (Ret.),</w:t>
      </w:r>
      <w:r>
        <w:t xml:space="preserve"> arising from an entirely separate proceeding: AAA Arbitration No. 01-24-0002-4821, </w:t>
      </w:r>
      <w:r>
        <w:rPr>
          <w:i/>
          <w:iCs/>
        </w:rPr>
        <w:t>CoVerica, Inc. v. Logsdon</w:t>
      </w:r>
      <w:r>
        <w:t>. Mr. Logsdon’s submission — a 24-page verified filing consisting of a Complaint Details document, a Comprehensive Whistleblower Memorandum, and an Exhibit Index Pack — was executed under penalty of perjury and notarized on August 4, 2026, before a Texas notary public in Dallas County.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6E36CD" w14:paraId="435F43DB" w14:textId="77777777">
        <w:tc>
          <w:tcPr>
            <w:tcW w:w="9350" w:type="dxa"/>
            <w:tcBorders>
              <w:top w:val="single" w:sz="4" w:space="0" w:color="999999"/>
              <w:left w:val="single" w:sz="4" w:space="0" w:color="999999"/>
              <w:bottom w:val="single" w:sz="4" w:space="0" w:color="999999"/>
              <w:right w:val="single" w:sz="4" w:space="0" w:color="999999"/>
            </w:tcBorders>
            <w:shd w:val="clear" w:color="auto" w:fill="E8ECF3"/>
            <w:tcMar>
              <w:top w:w="140" w:type="dxa"/>
              <w:left w:w="160" w:type="dxa"/>
              <w:bottom w:w="140" w:type="dxa"/>
              <w:right w:w="160" w:type="dxa"/>
            </w:tcMar>
          </w:tcPr>
          <w:p w14:paraId="0ADA30F6" w14:textId="77777777" w:rsidR="006E36CD" w:rsidRDefault="00000000">
            <w:pPr>
              <w:spacing w:after="80"/>
            </w:pPr>
            <w:r>
              <w:rPr>
                <w:b/>
                <w:bCs/>
                <w:sz w:val="19"/>
                <w:szCs w:val="19"/>
              </w:rPr>
              <w:t>THE ALLISON AND LOGSDON COMPLAINTS MUST NOT BE COMBINED.</w:t>
            </w:r>
          </w:p>
          <w:p w14:paraId="6F9507F5" w14:textId="77777777" w:rsidR="006E36CD" w:rsidRDefault="00000000">
            <w:r>
              <w:rPr>
                <w:sz w:val="18"/>
                <w:szCs w:val="18"/>
              </w:rPr>
              <w:t>They involve different parties, different lawyers, different underlying disputes, different alleged undisclosed relationships, and different evidentiary records. The Complainant does not ask the Commission to determine the truth of Mr. Logsdon’s allegations based on this complaint, and the evidence supporting the Allison complaint should not be attributed to his matter, or vice versa.</w:t>
            </w:r>
          </w:p>
        </w:tc>
      </w:tr>
    </w:tbl>
    <w:p w14:paraId="38BAFA28" w14:textId="77777777" w:rsidR="006E36CD" w:rsidRDefault="006E36CD">
      <w:pPr>
        <w:spacing w:after="160" w:line="276" w:lineRule="auto"/>
      </w:pPr>
    </w:p>
    <w:p w14:paraId="781BA2F3" w14:textId="77777777" w:rsidR="006E36CD" w:rsidRDefault="00000000">
      <w:pPr>
        <w:spacing w:after="160" w:line="276" w:lineRule="auto"/>
      </w:pPr>
      <w:r>
        <w:t>Mr. Logsdon’s sworn complaint alleges, among other things:</w:t>
      </w:r>
    </w:p>
    <w:p w14:paraId="57473CFC" w14:textId="77777777" w:rsidR="006E36CD" w:rsidRDefault="00000000">
      <w:pPr>
        <w:pStyle w:val="ListParagraph"/>
        <w:numPr>
          <w:ilvl w:val="0"/>
          <w:numId w:val="1"/>
        </w:numPr>
        <w:spacing w:after="120" w:line="276" w:lineRule="auto"/>
      </w:pPr>
      <w:r>
        <w:rPr>
          <w:b/>
          <w:bCs/>
        </w:rPr>
        <w:t xml:space="preserve">False Oaths &amp; Concealment of Conflicts (Count 1): </w:t>
      </w:r>
      <w:r>
        <w:t>that Ashby’s April 26, 2024 sworn Notice of Appointment falsely certified no professional or social relationships with any party or counsel, while she concealed an active “Of Counsel” affiliation with Shields Legal Group and a longstanding professional relationship with the group of attorneys representing the claimant (T.J. Jones, David Wishnew, Crawford, and Lang), and did not disclose her relationship with George Flint, CoVerica’s general counsel, until 10:20 a.m. on the morning of the final hearing.</w:t>
      </w:r>
    </w:p>
    <w:p w14:paraId="62FB815C" w14:textId="77777777" w:rsidR="006E36CD" w:rsidRDefault="00000000">
      <w:pPr>
        <w:pStyle w:val="ListParagraph"/>
        <w:numPr>
          <w:ilvl w:val="0"/>
          <w:numId w:val="1"/>
        </w:numPr>
        <w:spacing w:after="120" w:line="276" w:lineRule="auto"/>
      </w:pPr>
      <w:r>
        <w:rPr>
          <w:b/>
          <w:bCs/>
        </w:rPr>
        <w:t xml:space="preserve">Billing Fraud (Count 2): </w:t>
      </w:r>
      <w:r>
        <w:t>that Ashby’s Invoice 12003 billed 54.90 hours ($27,450.00), including more than 30 hours purportedly spent independently drafting the Final Award, while forensic PDF metadata is alleged to show the Final Award was authored entirely by claimant’s counsel T.J. Jones on the date it issued, and that Ashby’s signature on the award is a static embedded image (Object ID 439) rather than a live digital signature.</w:t>
      </w:r>
    </w:p>
    <w:p w14:paraId="659EA340" w14:textId="77777777" w:rsidR="006E36CD" w:rsidRDefault="00000000">
      <w:pPr>
        <w:pStyle w:val="ListParagraph"/>
        <w:numPr>
          <w:ilvl w:val="0"/>
          <w:numId w:val="1"/>
        </w:numPr>
        <w:spacing w:after="120" w:line="276" w:lineRule="auto"/>
      </w:pPr>
      <w:r>
        <w:rPr>
          <w:b/>
          <w:bCs/>
        </w:rPr>
        <w:t xml:space="preserve">Failure to Swear Witnesses &amp; Fabricated Findings (Count 3): </w:t>
      </w:r>
      <w:r>
        <w:t>that Ashby failed to administer oaths to claimant’s witnesses and adopted findings of fact — including a “crane insurance convention confrontation” and a finding that Mr. Logsdon could not identify a single referred employee — that the complaint alleges are directly contradicted by the hearing record and exhibits.</w:t>
      </w:r>
    </w:p>
    <w:p w14:paraId="11E9BF9F" w14:textId="77777777" w:rsidR="006E36CD" w:rsidRDefault="00000000">
      <w:pPr>
        <w:pStyle w:val="ListParagraph"/>
        <w:numPr>
          <w:ilvl w:val="0"/>
          <w:numId w:val="1"/>
        </w:numPr>
        <w:spacing w:after="120" w:line="276" w:lineRule="auto"/>
      </w:pPr>
      <w:r>
        <w:rPr>
          <w:b/>
          <w:bCs/>
        </w:rPr>
        <w:t xml:space="preserve">Violation of Federal Whistleblower Protections (Count 4): </w:t>
      </w:r>
      <w:r>
        <w:t>that Ashby’s December 2024 discovery orders compelled production of confidential IRS Form 211 whistleblower materials in alleged violation of 26 U.S.C. § 6103(a), and that her Final Award penalized Mr. Logsdon for protected whistleblowing under the Taxpayer First Act and the Dodd-Frank Act.</w:t>
      </w:r>
    </w:p>
    <w:p w14:paraId="4F68E36B" w14:textId="77777777" w:rsidR="006E36CD" w:rsidRDefault="00000000">
      <w:pPr>
        <w:pStyle w:val="ListParagraph"/>
        <w:numPr>
          <w:ilvl w:val="0"/>
          <w:numId w:val="1"/>
        </w:numPr>
        <w:spacing w:after="120" w:line="276" w:lineRule="auto"/>
      </w:pPr>
      <w:r>
        <w:rPr>
          <w:b/>
          <w:bCs/>
        </w:rPr>
        <w:lastRenderedPageBreak/>
        <w:t xml:space="preserve">Procedural Oppression (Count 5): </w:t>
      </w:r>
      <w:r>
        <w:t>that Ashby denied a continuance request tied to a newborn-childbirth emergency and documented discovery delays on February 25, 2025.</w:t>
      </w:r>
    </w:p>
    <w:p w14:paraId="05E9639B" w14:textId="77777777" w:rsidR="006E36CD" w:rsidRDefault="00000000">
      <w:pPr>
        <w:spacing w:after="160" w:line="276" w:lineRule="auto"/>
      </w:pPr>
      <w:r>
        <w:t>Mr. Logsdon’s complaint further alleges — expressly presented as “Additional Context” demonstrating that the CoVerica matter was “not an isolated event” — that Ashby engaged in a substantially similar pattern in the Allison matter: signing a sworn Arbitrator Oath certifying “no conflicts” while concealing a 35-to-40-year personal, professional, and financial relationship with Michael Collins, and adopting the prevailing attorneys’ proposed brief in substantial part to award a $4 million fee without independent analysis. The Complainant did not supply this characterization to Mr. Logsdon; his complaint states that it reflects his own independent, sworn understanding based on publicly available information, including reporting associated with StopLegalBullying.com.</w:t>
      </w:r>
    </w:p>
    <w:p w14:paraId="659EDBB7" w14:textId="77777777" w:rsidR="006E36CD" w:rsidRDefault="00000000">
      <w:pPr>
        <w:spacing w:after="160" w:line="276" w:lineRule="auto"/>
      </w:pPr>
      <w:r>
        <w:t>The relevance of the Logsdon complaint to this filing is limited to one common denominator: two unrelated arbitration participants, in two unrelated proceedings, have each independently — under penalty of perjury — alleged that the same retired judge, while serving as a private arbitrator, signed a sworn disclosure or appointment oath denying material relationships that the record later showed she had, and disclosed critical relationships (if at all) only after the proceeding was substantially underway, at a point when meaningful objection was no longer practical.</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3800"/>
        <w:gridCol w:w="3850"/>
      </w:tblGrid>
      <w:tr w:rsidR="006E36CD" w14:paraId="38B42A39" w14:textId="77777777">
        <w:trPr>
          <w:tblHeader/>
        </w:trPr>
        <w:tc>
          <w:tcPr>
            <w:tcW w:w="17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1A5FF458" w14:textId="77777777" w:rsidR="006E36CD" w:rsidRDefault="006E36CD"/>
        </w:tc>
        <w:tc>
          <w:tcPr>
            <w:tcW w:w="38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6E2D86EB" w14:textId="77777777" w:rsidR="006E36CD" w:rsidRDefault="00000000">
            <w:r>
              <w:rPr>
                <w:b/>
                <w:bCs/>
                <w:color w:val="FFFFFF"/>
                <w:sz w:val="18"/>
                <w:szCs w:val="18"/>
              </w:rPr>
              <w:t>Allison Arbitration</w:t>
            </w:r>
          </w:p>
        </w:tc>
        <w:tc>
          <w:tcPr>
            <w:tcW w:w="385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639DD2FD" w14:textId="77777777" w:rsidR="006E36CD" w:rsidRDefault="00000000">
            <w:r>
              <w:rPr>
                <w:b/>
                <w:bCs/>
                <w:color w:val="FFFFFF"/>
                <w:sz w:val="18"/>
                <w:szCs w:val="18"/>
              </w:rPr>
              <w:t>Logsdon Arbitration</w:t>
            </w:r>
          </w:p>
        </w:tc>
      </w:tr>
      <w:tr w:rsidR="006E36CD" w14:paraId="4B9E589D"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2C49F46" w14:textId="77777777" w:rsidR="006E36CD" w:rsidRDefault="00000000">
            <w:r>
              <w:rPr>
                <w:sz w:val="18"/>
                <w:szCs w:val="18"/>
              </w:rPr>
              <w:t>Case No.</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C1F4713" w14:textId="77777777" w:rsidR="006E36CD" w:rsidRDefault="00000000">
            <w:r>
              <w:rPr>
                <w:sz w:val="18"/>
                <w:szCs w:val="18"/>
              </w:rPr>
              <w:t>AAA No. 01-22-0000-9524</w:t>
            </w:r>
          </w:p>
        </w:tc>
        <w:tc>
          <w:tcPr>
            <w:tcW w:w="3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6F68D7A" w14:textId="77777777" w:rsidR="006E36CD" w:rsidRDefault="00000000">
            <w:r>
              <w:rPr>
                <w:sz w:val="18"/>
                <w:szCs w:val="18"/>
              </w:rPr>
              <w:t>AAA No. 01-24-0002-4821</w:t>
            </w:r>
          </w:p>
        </w:tc>
      </w:tr>
      <w:tr w:rsidR="006E36CD" w14:paraId="038D9FA1"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4BA49F7" w14:textId="77777777" w:rsidR="006E36CD" w:rsidRDefault="00000000">
            <w:r>
              <w:rPr>
                <w:sz w:val="18"/>
                <w:szCs w:val="18"/>
              </w:rPr>
              <w:t>Nature of dispute</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9B454C8" w14:textId="77777777" w:rsidR="006E36CD" w:rsidRDefault="00000000">
            <w:r>
              <w:rPr>
                <w:sz w:val="18"/>
                <w:szCs w:val="18"/>
              </w:rPr>
              <w:t>Allison family attorney-fee dispute</w:t>
            </w:r>
          </w:p>
        </w:tc>
        <w:tc>
          <w:tcPr>
            <w:tcW w:w="3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6256482" w14:textId="77777777" w:rsidR="006E36CD" w:rsidRDefault="00000000">
            <w:r>
              <w:rPr>
                <w:sz w:val="18"/>
                <w:szCs w:val="18"/>
              </w:rPr>
              <w:t>CoVerica, Inc. v. Logsdon employment dispute</w:t>
            </w:r>
          </w:p>
        </w:tc>
      </w:tr>
      <w:tr w:rsidR="006E36CD" w14:paraId="057A0BF5"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B319324" w14:textId="77777777" w:rsidR="006E36CD" w:rsidRDefault="00000000">
            <w:r>
              <w:rPr>
                <w:sz w:val="18"/>
                <w:szCs w:val="18"/>
              </w:rPr>
              <w:t>Parties / counsel</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7E6B9FF" w14:textId="77777777" w:rsidR="006E36CD" w:rsidRDefault="00000000">
            <w:r>
              <w:rPr>
                <w:sz w:val="18"/>
                <w:szCs w:val="18"/>
              </w:rPr>
              <w:t>Different parties, different counsel</w:t>
            </w:r>
          </w:p>
        </w:tc>
        <w:tc>
          <w:tcPr>
            <w:tcW w:w="3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97A5776" w14:textId="77777777" w:rsidR="006E36CD" w:rsidRDefault="00000000">
            <w:r>
              <w:rPr>
                <w:sz w:val="18"/>
                <w:szCs w:val="18"/>
              </w:rPr>
              <w:t>Different parties, different counsel</w:t>
            </w:r>
          </w:p>
        </w:tc>
      </w:tr>
      <w:tr w:rsidR="006E36CD" w14:paraId="515E9892"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629716C" w14:textId="77777777" w:rsidR="006E36CD" w:rsidRDefault="00000000">
            <w:r>
              <w:rPr>
                <w:sz w:val="18"/>
                <w:szCs w:val="18"/>
              </w:rPr>
              <w:t>Undisclosed relationships alleged</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EF117A5" w14:textId="77777777" w:rsidR="006E36CD" w:rsidRDefault="00000000">
            <w:r>
              <w:rPr>
                <w:sz w:val="18"/>
                <w:szCs w:val="18"/>
              </w:rPr>
              <w:t>Michael Collins, Keith Staubus, Steven L. Besly</w:t>
            </w:r>
          </w:p>
        </w:tc>
        <w:tc>
          <w:tcPr>
            <w:tcW w:w="3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22505DC" w14:textId="77777777" w:rsidR="006E36CD" w:rsidRDefault="00000000">
            <w:r>
              <w:rPr>
                <w:sz w:val="18"/>
                <w:szCs w:val="18"/>
              </w:rPr>
              <w:t>Shields Legal Group, Mark Shank, Crawford Wishnew &amp; Lang, Scheef &amp; Stone, George Flint</w:t>
            </w:r>
          </w:p>
        </w:tc>
      </w:tr>
      <w:tr w:rsidR="006E36CD" w14:paraId="1E813AB7"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50FF61A" w14:textId="77777777" w:rsidR="006E36CD" w:rsidRDefault="00000000">
            <w:r>
              <w:rPr>
                <w:sz w:val="18"/>
                <w:szCs w:val="18"/>
              </w:rPr>
              <w:t>Sworn oath / disclosure</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0610DD9" w14:textId="77777777" w:rsidR="006E36CD" w:rsidRDefault="00000000">
            <w:r>
              <w:rPr>
                <w:sz w:val="18"/>
                <w:szCs w:val="18"/>
              </w:rPr>
              <w:t>Sept. 30, 2022 oath answered “No” to relationship questions; first material disclosure came ~8 months later, days before reaffirmation</w:t>
            </w:r>
          </w:p>
        </w:tc>
        <w:tc>
          <w:tcPr>
            <w:tcW w:w="3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65D25D5" w14:textId="77777777" w:rsidR="006E36CD" w:rsidRDefault="00000000">
            <w:r>
              <w:rPr>
                <w:sz w:val="18"/>
                <w:szCs w:val="18"/>
              </w:rPr>
              <w:t>Apr. 26, 2024 Notice of Appointment answered “No” to relationship questions; key relationship (George Flint) disclosed the morning of final hearing</w:t>
            </w:r>
          </w:p>
        </w:tc>
      </w:tr>
      <w:tr w:rsidR="006E36CD" w14:paraId="3554948F"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EB64C41" w14:textId="77777777" w:rsidR="006E36CD" w:rsidRDefault="00000000">
            <w:r>
              <w:rPr>
                <w:sz w:val="18"/>
                <w:szCs w:val="18"/>
              </w:rPr>
              <w:t>Non-party / third-party impact</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2984849" w14:textId="77777777" w:rsidR="006E36CD" w:rsidRDefault="00000000">
            <w:r>
              <w:rPr>
                <w:sz w:val="18"/>
                <w:szCs w:val="18"/>
              </w:rPr>
              <w:t>Non-party trust and brokerage assets frozen or ordered liquidated</w:t>
            </w:r>
          </w:p>
        </w:tc>
        <w:tc>
          <w:tcPr>
            <w:tcW w:w="3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719D6DB" w14:textId="77777777" w:rsidR="006E36CD" w:rsidRDefault="00000000">
            <w:r>
              <w:rPr>
                <w:sz w:val="18"/>
                <w:szCs w:val="18"/>
              </w:rPr>
              <w:t>Discovery order compelled production of confidential federal materials; award penalized protected whistleblowing</w:t>
            </w:r>
          </w:p>
        </w:tc>
      </w:tr>
      <w:tr w:rsidR="006E36CD" w14:paraId="7D9749B6"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8D3F550" w14:textId="77777777" w:rsidR="006E36CD" w:rsidRDefault="00000000">
            <w:r>
              <w:rPr>
                <w:sz w:val="18"/>
                <w:szCs w:val="18"/>
              </w:rPr>
              <w:t>Award characteristics</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676BCDA" w14:textId="77777777" w:rsidR="006E36CD" w:rsidRDefault="00000000">
            <w:r>
              <w:rPr>
                <w:sz w:val="18"/>
                <w:szCs w:val="18"/>
              </w:rPr>
              <w:t>Award adopted the prevailing side’s brief and figures in substantial part</w:t>
            </w:r>
          </w:p>
        </w:tc>
        <w:tc>
          <w:tcPr>
            <w:tcW w:w="3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437D947" w14:textId="77777777" w:rsidR="006E36CD" w:rsidRDefault="00000000">
            <w:r>
              <w:rPr>
                <w:sz w:val="18"/>
                <w:szCs w:val="18"/>
              </w:rPr>
              <w:t>Award alleged to be ~91% verbatim from prevailing counsel’s draft; signature a static image file</w:t>
            </w:r>
          </w:p>
        </w:tc>
      </w:tr>
      <w:tr w:rsidR="006E36CD" w14:paraId="39E03FF0"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FF3D1EA" w14:textId="77777777" w:rsidR="006E36CD" w:rsidRDefault="00000000">
            <w:r>
              <w:rPr>
                <w:sz w:val="18"/>
                <w:szCs w:val="18"/>
              </w:rPr>
              <w:t>Filing status</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7C8CF28" w14:textId="77777777" w:rsidR="006E36CD" w:rsidRDefault="00000000">
            <w:r>
              <w:rPr>
                <w:sz w:val="18"/>
                <w:szCs w:val="18"/>
              </w:rPr>
              <w:t>SCOTX petition filed Aug. 3, 2026; bar complaint filed Apr. 7, 2026; State Bar confirmed investigation by letter dated May 13, 2026 (Case No. 202602916)</w:t>
            </w:r>
          </w:p>
        </w:tc>
        <w:tc>
          <w:tcPr>
            <w:tcW w:w="3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DC00082" w14:textId="77777777" w:rsidR="006E36CD" w:rsidRDefault="00000000">
            <w:r>
              <w:rPr>
                <w:sz w:val="18"/>
                <w:szCs w:val="18"/>
              </w:rPr>
              <w:t>SCJC complaint executed and notarized Aug. 4, 2026</w:t>
            </w:r>
          </w:p>
        </w:tc>
      </w:tr>
      <w:tr w:rsidR="006E36CD" w14:paraId="18293A65" w14:textId="77777777">
        <w:tc>
          <w:tcPr>
            <w:tcW w:w="1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B01A351" w14:textId="77777777" w:rsidR="006E36CD" w:rsidRDefault="00000000">
            <w:r>
              <w:rPr>
                <w:sz w:val="18"/>
                <w:szCs w:val="18"/>
              </w:rPr>
              <w:t>Arbitrator</w:t>
            </w:r>
          </w:p>
        </w:tc>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8E33F0E" w14:textId="77777777" w:rsidR="006E36CD" w:rsidRDefault="00000000">
            <w:r>
              <w:rPr>
                <w:sz w:val="18"/>
                <w:szCs w:val="18"/>
              </w:rPr>
              <w:t>Anne Ashby served as arbitrator</w:t>
            </w:r>
          </w:p>
        </w:tc>
        <w:tc>
          <w:tcPr>
            <w:tcW w:w="3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F6D3D5" w14:textId="77777777" w:rsidR="006E36CD" w:rsidRDefault="00000000">
            <w:r>
              <w:rPr>
                <w:sz w:val="18"/>
                <w:szCs w:val="18"/>
              </w:rPr>
              <w:t>Anne Ashby served as arbitrator</w:t>
            </w:r>
          </w:p>
        </w:tc>
      </w:tr>
    </w:tbl>
    <w:p w14:paraId="00B1E806" w14:textId="77777777" w:rsidR="006E36CD" w:rsidRDefault="00000000">
      <w:pPr>
        <w:spacing w:after="160" w:line="276" w:lineRule="auto"/>
      </w:pPr>
      <w:r>
        <w:t>The Commission should investigate the Allison complaint on its own evidence, investigate the Logsdon complaint on its own evidence, and separately consider whether the existence of two independently sworn complaints alleging the same category of misconduct — incomplete or belated disclosure defeating a party’s opportunity to evaluate neutrality — indicates a recurring practice warranting the broader review addressed in Section VII, below.</w:t>
      </w:r>
    </w:p>
    <w:p w14:paraId="441ED70E" w14:textId="77777777" w:rsidR="006E36CD" w:rsidRDefault="00000000">
      <w:pPr>
        <w:pStyle w:val="Heading1"/>
        <w:spacing w:before="320" w:after="160"/>
      </w:pPr>
      <w:r>
        <w:rPr>
          <w:b/>
          <w:bCs/>
          <w:caps/>
          <w:color w:val="1B2A4A"/>
          <w:sz w:val="24"/>
          <w:szCs w:val="24"/>
        </w:rPr>
        <w:t>VII. Documented Pattern of Recurring Disclosure Timing and Procedural Asymmetry Across Multiple Ashby Arbitrations</w:t>
      </w:r>
    </w:p>
    <w:p w14:paraId="6E2CFE00" w14:textId="77777777" w:rsidR="006E36CD" w:rsidRDefault="00000000">
      <w:pPr>
        <w:spacing w:after="160" w:line="276" w:lineRule="auto"/>
      </w:pPr>
      <w:r>
        <w:t xml:space="preserve">Independent investigation conducted in connection with StopLegalBullying.com has cross-referenced publicly available AAA decisions and confirmed court and award records from proceedings Anne Ashby has arbitrated, beyond the Allison and Logsdon matters. The Complainant offers this material not as proof of misconduct in any individual case, but as context that may assist the Commission in evaluating whether the disclosure and procedural issues raised in Sections IV and VI are isolated to this proceeding or reflect a recurring practice warranting broader inquiry. Statistical and comparative patterns of </w:t>
      </w:r>
      <w:r>
        <w:lastRenderedPageBreak/>
        <w:t>this kind are screening signals, not independent proof; they become legally significant only when paired with authenticated, case-specific evidence of a material undisclosed relationship or prejudicial procedural conduct, and the Complainant presents them to the Commission on that basis.</w:t>
      </w:r>
    </w:p>
    <w:p w14:paraId="4F1945C1" w14:textId="77777777" w:rsidR="006E36CD" w:rsidRDefault="00000000">
      <w:pPr>
        <w:pStyle w:val="Heading2"/>
        <w:spacing w:before="240" w:after="120"/>
      </w:pPr>
      <w:r>
        <w:rPr>
          <w:b/>
          <w:bCs/>
          <w:sz w:val="22"/>
          <w:szCs w:val="22"/>
        </w:rPr>
        <w:t>A. Disclosure Timing Pattern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2300"/>
        <w:gridCol w:w="1650"/>
        <w:gridCol w:w="2900"/>
      </w:tblGrid>
      <w:tr w:rsidR="006E36CD" w14:paraId="66E36913" w14:textId="77777777">
        <w:trPr>
          <w:tblHeader/>
        </w:trPr>
        <w:tc>
          <w:tcPr>
            <w:tcW w:w="25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1795CB6B" w14:textId="77777777" w:rsidR="006E36CD" w:rsidRDefault="00000000">
            <w:r>
              <w:rPr>
                <w:b/>
                <w:bCs/>
                <w:color w:val="FFFFFF"/>
                <w:sz w:val="18"/>
                <w:szCs w:val="18"/>
              </w:rPr>
              <w:t>Matter</w:t>
            </w:r>
          </w:p>
        </w:tc>
        <w:tc>
          <w:tcPr>
            <w:tcW w:w="23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68A9743A" w14:textId="77777777" w:rsidR="006E36CD" w:rsidRDefault="00000000">
            <w:r>
              <w:rPr>
                <w:b/>
                <w:bCs/>
                <w:color w:val="FFFFFF"/>
                <w:sz w:val="18"/>
                <w:szCs w:val="18"/>
              </w:rPr>
              <w:t>Relationship at Issue</w:t>
            </w:r>
          </w:p>
        </w:tc>
        <w:tc>
          <w:tcPr>
            <w:tcW w:w="165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47DCC34A" w14:textId="77777777" w:rsidR="006E36CD" w:rsidRDefault="00000000">
            <w:r>
              <w:rPr>
                <w:b/>
                <w:bCs/>
                <w:color w:val="FFFFFF"/>
                <w:sz w:val="18"/>
                <w:szCs w:val="18"/>
              </w:rPr>
              <w:t>Disclosure Made?</w:t>
            </w:r>
          </w:p>
        </w:tc>
        <w:tc>
          <w:tcPr>
            <w:tcW w:w="29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7B3CCF23" w14:textId="77777777" w:rsidR="006E36CD" w:rsidRDefault="00000000">
            <w:r>
              <w:rPr>
                <w:b/>
                <w:bCs/>
                <w:color w:val="FFFFFF"/>
                <w:sz w:val="18"/>
                <w:szCs w:val="18"/>
              </w:rPr>
              <w:t>Timing</w:t>
            </w:r>
          </w:p>
        </w:tc>
      </w:tr>
      <w:tr w:rsidR="006E36CD" w14:paraId="65CCFFF8" w14:textId="77777777">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D42E561" w14:textId="77777777" w:rsidR="006E36CD" w:rsidRDefault="00000000">
            <w:r>
              <w:rPr>
                <w:sz w:val="18"/>
                <w:szCs w:val="18"/>
              </w:rPr>
              <w:t>Allison v. Borunda (AAA 01-22-0000-9524)</w:t>
            </w:r>
          </w:p>
        </w:tc>
        <w:tc>
          <w:tcPr>
            <w:tcW w:w="2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A668E28" w14:textId="77777777" w:rsidR="006E36CD" w:rsidRDefault="00000000">
            <w:r>
              <w:rPr>
                <w:sz w:val="18"/>
                <w:szCs w:val="18"/>
              </w:rPr>
              <w:t>Michael Collins (Of Counsel / financial / prior divorce attorney)</w:t>
            </w:r>
          </w:p>
        </w:tc>
        <w:tc>
          <w:tcPr>
            <w:tcW w:w="1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B687F27" w14:textId="77777777" w:rsidR="006E36CD" w:rsidRDefault="00000000">
            <w:r>
              <w:rPr>
                <w:sz w:val="18"/>
                <w:szCs w:val="18"/>
              </w:rPr>
              <w:t>Not disclosed before appointment</w:t>
            </w:r>
          </w:p>
        </w:tc>
        <w:tc>
          <w:tcPr>
            <w:tcW w:w="2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2E2E737" w14:textId="77777777" w:rsidR="006E36CD" w:rsidRDefault="00000000">
            <w:r>
              <w:rPr>
                <w:sz w:val="18"/>
                <w:szCs w:val="18"/>
              </w:rPr>
              <w:t>Partial disclosure ~8 months into the proceeding, days before reaffirmation — central allegation of this complaint</w:t>
            </w:r>
          </w:p>
        </w:tc>
      </w:tr>
      <w:tr w:rsidR="006E36CD" w14:paraId="27C7DAFA" w14:textId="77777777">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484C8E1" w14:textId="77777777" w:rsidR="006E36CD" w:rsidRDefault="00000000">
            <w:r>
              <w:rPr>
                <w:sz w:val="18"/>
                <w:szCs w:val="18"/>
              </w:rPr>
              <w:t>Allison v. Borunda</w:t>
            </w:r>
          </w:p>
        </w:tc>
        <w:tc>
          <w:tcPr>
            <w:tcW w:w="2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51B15E9" w14:textId="77777777" w:rsidR="006E36CD" w:rsidRDefault="00000000">
            <w:r>
              <w:rPr>
                <w:sz w:val="18"/>
                <w:szCs w:val="18"/>
              </w:rPr>
              <w:t>Keith Staubus (shared firm history with Collins)</w:t>
            </w:r>
          </w:p>
        </w:tc>
        <w:tc>
          <w:tcPr>
            <w:tcW w:w="1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B247200" w14:textId="77777777" w:rsidR="006E36CD" w:rsidRDefault="00000000">
            <w:r>
              <w:rPr>
                <w:sz w:val="18"/>
                <w:szCs w:val="18"/>
              </w:rPr>
              <w:t>Alleged incomplete</w:t>
            </w:r>
          </w:p>
        </w:tc>
        <w:tc>
          <w:tcPr>
            <w:tcW w:w="2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036221F" w14:textId="77777777" w:rsidR="006E36CD" w:rsidRDefault="00000000">
            <w:r>
              <w:rPr>
                <w:sz w:val="18"/>
                <w:szCs w:val="18"/>
              </w:rPr>
              <w:t>Disputed</w:t>
            </w:r>
          </w:p>
        </w:tc>
      </w:tr>
      <w:tr w:rsidR="006E36CD" w14:paraId="307792BD" w14:textId="77777777">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92868E2" w14:textId="77777777" w:rsidR="006E36CD" w:rsidRDefault="00000000">
            <w:r>
              <w:rPr>
                <w:sz w:val="18"/>
                <w:szCs w:val="18"/>
              </w:rPr>
              <w:t>CoVerica v. Logsdon (AAA 01-24-0002-4821)</w:t>
            </w:r>
          </w:p>
        </w:tc>
        <w:tc>
          <w:tcPr>
            <w:tcW w:w="2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E4C8B8E" w14:textId="77777777" w:rsidR="006E36CD" w:rsidRDefault="00000000">
            <w:r>
              <w:rPr>
                <w:sz w:val="18"/>
                <w:szCs w:val="18"/>
              </w:rPr>
              <w:t>Mark Shank</w:t>
            </w:r>
          </w:p>
        </w:tc>
        <w:tc>
          <w:tcPr>
            <w:tcW w:w="1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9929E2E" w14:textId="77777777" w:rsidR="006E36CD" w:rsidRDefault="00000000">
            <w:r>
              <w:rPr>
                <w:sz w:val="18"/>
                <w:szCs w:val="18"/>
              </w:rPr>
              <w:t>Yes, but late</w:t>
            </w:r>
          </w:p>
        </w:tc>
        <w:tc>
          <w:tcPr>
            <w:tcW w:w="2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8CB0B26" w14:textId="77777777" w:rsidR="006E36CD" w:rsidRDefault="00000000">
            <w:r>
              <w:rPr>
                <w:sz w:val="18"/>
                <w:szCs w:val="18"/>
              </w:rPr>
              <w:t>June 20, 2024 supplemental disclosure — per Logsdon’s sworn complaint</w:t>
            </w:r>
          </w:p>
        </w:tc>
      </w:tr>
      <w:tr w:rsidR="006E36CD" w14:paraId="20691F8C" w14:textId="77777777">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6451FA5" w14:textId="77777777" w:rsidR="006E36CD" w:rsidRDefault="00000000">
            <w:r>
              <w:rPr>
                <w:sz w:val="18"/>
                <w:szCs w:val="18"/>
              </w:rPr>
              <w:t>CoVerica v. Logsdon</w:t>
            </w:r>
          </w:p>
        </w:tc>
        <w:tc>
          <w:tcPr>
            <w:tcW w:w="2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4DBE59E" w14:textId="77777777" w:rsidR="006E36CD" w:rsidRDefault="00000000">
            <w:r>
              <w:rPr>
                <w:sz w:val="18"/>
                <w:szCs w:val="18"/>
              </w:rPr>
              <w:t>George Flint (CoVerica general counsel)</w:t>
            </w:r>
          </w:p>
        </w:tc>
        <w:tc>
          <w:tcPr>
            <w:tcW w:w="1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304AECD" w14:textId="77777777" w:rsidR="006E36CD" w:rsidRDefault="00000000">
            <w:r>
              <w:rPr>
                <w:sz w:val="18"/>
                <w:szCs w:val="18"/>
              </w:rPr>
              <w:t>Yes, but late</w:t>
            </w:r>
          </w:p>
        </w:tc>
        <w:tc>
          <w:tcPr>
            <w:tcW w:w="2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5B29E21" w14:textId="77777777" w:rsidR="006E36CD" w:rsidRDefault="00000000">
            <w:r>
              <w:rPr>
                <w:sz w:val="18"/>
                <w:szCs w:val="18"/>
              </w:rPr>
              <w:t>March 12, 2025, 10:20 a.m. — the morning of the final hearing — per Logsdon’s sworn complaint</w:t>
            </w:r>
          </w:p>
        </w:tc>
      </w:tr>
      <w:tr w:rsidR="006E36CD" w14:paraId="3E3D6AFD" w14:textId="77777777">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BEC033D" w14:textId="77777777" w:rsidR="006E36CD" w:rsidRDefault="00000000">
            <w:r>
              <w:rPr>
                <w:sz w:val="18"/>
                <w:szCs w:val="18"/>
              </w:rPr>
              <w:t>CoVerica v. Logsdon</w:t>
            </w:r>
          </w:p>
        </w:tc>
        <w:tc>
          <w:tcPr>
            <w:tcW w:w="2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8454302" w14:textId="77777777" w:rsidR="006E36CD" w:rsidRDefault="00000000">
            <w:r>
              <w:rPr>
                <w:sz w:val="18"/>
                <w:szCs w:val="18"/>
              </w:rPr>
              <w:t>Scheef &amp; Stone conflicts</w:t>
            </w:r>
          </w:p>
        </w:tc>
        <w:tc>
          <w:tcPr>
            <w:tcW w:w="1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4286358" w14:textId="77777777" w:rsidR="006E36CD" w:rsidRDefault="00000000">
            <w:r>
              <w:rPr>
                <w:sz w:val="18"/>
                <w:szCs w:val="18"/>
              </w:rPr>
              <w:t>Alleged incomplete</w:t>
            </w:r>
          </w:p>
        </w:tc>
        <w:tc>
          <w:tcPr>
            <w:tcW w:w="2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C77E29D" w14:textId="77777777" w:rsidR="006E36CD" w:rsidRDefault="00000000">
            <w:r>
              <w:rPr>
                <w:sz w:val="18"/>
                <w:szCs w:val="18"/>
              </w:rPr>
              <w:t>Per Logsdon’s sworn complaint</w:t>
            </w:r>
          </w:p>
        </w:tc>
      </w:tr>
    </w:tbl>
    <w:p w14:paraId="553E5077" w14:textId="77777777" w:rsidR="006E36CD" w:rsidRDefault="00000000">
      <w:pPr>
        <w:pStyle w:val="Heading2"/>
        <w:spacing w:before="240" w:after="120"/>
      </w:pPr>
      <w:r>
        <w:rPr>
          <w:b/>
          <w:bCs/>
          <w:sz w:val="22"/>
          <w:szCs w:val="22"/>
        </w:rPr>
        <w:t>B. Arbitrator Compensation Across Comparable Matters</w:t>
      </w:r>
    </w:p>
    <w:p w14:paraId="52A1B5ED" w14:textId="77777777" w:rsidR="006E36CD" w:rsidRDefault="00000000">
      <w:pPr>
        <w:spacing w:after="160" w:line="276" w:lineRule="auto"/>
      </w:pPr>
      <w:r>
        <w:t>The following figures are drawn from confirmed award and court records identified in the course of this investigation, not from allegation alone: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050"/>
        <w:gridCol w:w="2500"/>
        <w:gridCol w:w="1300"/>
      </w:tblGrid>
      <w:tr w:rsidR="006E36CD" w14:paraId="14EB2E16" w14:textId="77777777">
        <w:trPr>
          <w:tblHeader/>
        </w:trPr>
        <w:tc>
          <w:tcPr>
            <w:tcW w:w="25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20CD36FE" w14:textId="77777777" w:rsidR="006E36CD" w:rsidRDefault="00000000">
            <w:r>
              <w:rPr>
                <w:b/>
                <w:bCs/>
                <w:color w:val="FFFFFF"/>
                <w:sz w:val="18"/>
                <w:szCs w:val="18"/>
              </w:rPr>
              <w:t>Matter</w:t>
            </w:r>
          </w:p>
        </w:tc>
        <w:tc>
          <w:tcPr>
            <w:tcW w:w="305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7BC36558" w14:textId="77777777" w:rsidR="006E36CD" w:rsidRDefault="00000000">
            <w:r>
              <w:rPr>
                <w:b/>
                <w:bCs/>
                <w:color w:val="FFFFFF"/>
                <w:sz w:val="18"/>
                <w:szCs w:val="18"/>
              </w:rPr>
              <w:t>Hearing Format</w:t>
            </w:r>
          </w:p>
        </w:tc>
        <w:tc>
          <w:tcPr>
            <w:tcW w:w="25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1213CE38" w14:textId="77777777" w:rsidR="006E36CD" w:rsidRDefault="00000000">
            <w:r>
              <w:rPr>
                <w:b/>
                <w:bCs/>
                <w:color w:val="FFFFFF"/>
                <w:sz w:val="18"/>
                <w:szCs w:val="18"/>
              </w:rPr>
              <w:t>Confirmed Arbitrator Compensation</w:t>
            </w:r>
          </w:p>
        </w:tc>
        <w:tc>
          <w:tcPr>
            <w:tcW w:w="13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1CDAE761" w14:textId="77777777" w:rsidR="006E36CD" w:rsidRDefault="00000000">
            <w:r>
              <w:rPr>
                <w:b/>
                <w:bCs/>
                <w:color w:val="FFFFFF"/>
                <w:sz w:val="18"/>
                <w:szCs w:val="18"/>
              </w:rPr>
              <w:t>Source</w:t>
            </w:r>
          </w:p>
        </w:tc>
      </w:tr>
      <w:tr w:rsidR="006E36CD" w14:paraId="6B905478" w14:textId="77777777">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D53BE29" w14:textId="77777777" w:rsidR="006E36CD" w:rsidRDefault="00000000">
            <w:r>
              <w:rPr>
                <w:sz w:val="18"/>
                <w:szCs w:val="18"/>
              </w:rPr>
              <w:t>Poolwerx v. Bussenius (AAA, 2022)</w:t>
            </w:r>
          </w:p>
        </w:tc>
        <w:tc>
          <w:tcPr>
            <w:tcW w:w="30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0B2FF44" w14:textId="77777777" w:rsidR="006E36CD" w:rsidRDefault="00000000">
            <w:r>
              <w:rPr>
                <w:sz w:val="18"/>
                <w:szCs w:val="18"/>
              </w:rPr>
              <w:t>1-day, uncontested (respondent did not appear at final hearing)</w:t>
            </w:r>
          </w:p>
        </w:tc>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DF79B68" w14:textId="77777777" w:rsidR="006E36CD" w:rsidRDefault="00000000">
            <w:r>
              <w:rPr>
                <w:sz w:val="18"/>
                <w:szCs w:val="18"/>
              </w:rPr>
              <w:t>$3,915.00</w:t>
            </w:r>
          </w:p>
        </w:tc>
        <w:tc>
          <w:tcPr>
            <w:tcW w:w="1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F11DE76" w14:textId="77777777" w:rsidR="006E36CD" w:rsidRDefault="00000000">
            <w:r>
              <w:rPr>
                <w:sz w:val="18"/>
                <w:szCs w:val="18"/>
              </w:rPr>
              <w:t>AAA Final Award, July 21, 2022</w:t>
            </w:r>
          </w:p>
        </w:tc>
      </w:tr>
      <w:tr w:rsidR="006E36CD" w14:paraId="1B6AFF11" w14:textId="77777777">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B056653" w14:textId="77777777" w:rsidR="006E36CD" w:rsidRPr="00346565" w:rsidRDefault="00000000">
            <w:pPr>
              <w:rPr>
                <w:lang w:val="it-IT"/>
              </w:rPr>
            </w:pPr>
            <w:r>
              <w:rPr>
                <w:sz w:val="18"/>
                <w:szCs w:val="18"/>
                <w:lang w:val="it-IT"/>
              </w:rPr>
              <w:t>LALO v. Hawk/Colton (AAA, 2018)</w:t>
            </w:r>
          </w:p>
        </w:tc>
        <w:tc>
          <w:tcPr>
            <w:tcW w:w="30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93332D4" w14:textId="77777777" w:rsidR="006E36CD" w:rsidRDefault="00000000">
            <w:r>
              <w:rPr>
                <w:sz w:val="18"/>
                <w:szCs w:val="18"/>
              </w:rPr>
              <w:t>4-day, contested</w:t>
            </w:r>
          </w:p>
        </w:tc>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C31BD16" w14:textId="77777777" w:rsidR="006E36CD" w:rsidRDefault="00000000">
            <w:r>
              <w:rPr>
                <w:sz w:val="18"/>
                <w:szCs w:val="18"/>
              </w:rPr>
              <w:t>$40,915.00 (arbitration costs)</w:t>
            </w:r>
          </w:p>
        </w:tc>
        <w:tc>
          <w:tcPr>
            <w:tcW w:w="1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B2FFF8A" w14:textId="77777777" w:rsidR="006E36CD" w:rsidRDefault="00000000">
            <w:r>
              <w:rPr>
                <w:sz w:val="18"/>
                <w:szCs w:val="18"/>
              </w:rPr>
              <w:t>N.D. Tex. confirmation order</w:t>
            </w:r>
          </w:p>
        </w:tc>
      </w:tr>
      <w:tr w:rsidR="006E36CD" w14:paraId="1593BC1D" w14:textId="77777777">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2C7EFE9" w14:textId="77777777" w:rsidR="006E36CD" w:rsidRDefault="00000000">
            <w:r>
              <w:rPr>
                <w:sz w:val="18"/>
                <w:szCs w:val="18"/>
              </w:rPr>
              <w:t>CoVerica v. Logsdon (AAA 01-24-0002-4821, 2025)</w:t>
            </w:r>
          </w:p>
        </w:tc>
        <w:tc>
          <w:tcPr>
            <w:tcW w:w="30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B4BBB72" w14:textId="77777777" w:rsidR="006E36CD" w:rsidRDefault="00000000">
            <w:r>
              <w:rPr>
                <w:sz w:val="18"/>
                <w:szCs w:val="18"/>
              </w:rPr>
              <w:t>1-day hearing, following ~13 months of pre-hearing proceedings; no recording of the hearing was made</w:t>
            </w:r>
          </w:p>
        </w:tc>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36303B8" w14:textId="77777777" w:rsidR="006E36CD" w:rsidRDefault="00000000">
            <w:r>
              <w:rPr>
                <w:sz w:val="18"/>
                <w:szCs w:val="18"/>
              </w:rPr>
              <w:t>$68,450.38</w:t>
            </w:r>
          </w:p>
        </w:tc>
        <w:tc>
          <w:tcPr>
            <w:tcW w:w="1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89274B3" w14:textId="77777777" w:rsidR="006E36CD" w:rsidRDefault="00000000">
            <w:r>
              <w:rPr>
                <w:sz w:val="18"/>
                <w:szCs w:val="18"/>
              </w:rPr>
              <w:t>Final Award ¶ 3, April 25, 2025</w:t>
            </w:r>
          </w:p>
        </w:tc>
      </w:tr>
      <w:tr w:rsidR="006E36CD" w14:paraId="62D4F571" w14:textId="77777777">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FA46A24" w14:textId="77777777" w:rsidR="006E36CD" w:rsidRDefault="00000000">
            <w:r>
              <w:rPr>
                <w:sz w:val="18"/>
                <w:szCs w:val="18"/>
              </w:rPr>
              <w:t>Allison v. Borunda (AAA 01-22-0000-9524, 2024)</w:t>
            </w:r>
          </w:p>
        </w:tc>
        <w:tc>
          <w:tcPr>
            <w:tcW w:w="30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188DD77" w14:textId="77777777" w:rsidR="006E36CD" w:rsidRDefault="00000000">
            <w:r>
              <w:rPr>
                <w:sz w:val="18"/>
                <w:szCs w:val="18"/>
              </w:rPr>
              <w:t>7-day hearing, following ~18 months of proceedings</w:t>
            </w:r>
          </w:p>
        </w:tc>
        <w:tc>
          <w:tcPr>
            <w:tcW w:w="2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AA4F7C5" w14:textId="77777777" w:rsidR="006E36CD" w:rsidRDefault="00000000">
            <w:r>
              <w:rPr>
                <w:sz w:val="18"/>
                <w:szCs w:val="18"/>
              </w:rPr>
              <w:t>$133,318.81 (Ashby's personal arbitrator's fee alone, per the Final Award; a further $56,225.00 in separate AAA administrative fees was also assessed against the Allisons)</w:t>
            </w:r>
          </w:p>
        </w:tc>
        <w:tc>
          <w:tcPr>
            <w:tcW w:w="13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5C21CBA" w14:textId="77777777" w:rsidR="006E36CD" w:rsidRDefault="00000000">
            <w:r>
              <w:rPr>
                <w:sz w:val="18"/>
                <w:szCs w:val="18"/>
              </w:rPr>
              <w:t>Final Award, quoted in Petition for Review, No. 26-0428 (Ex. 17); Final Judgment ¶ 6, July 15, 2024 (Ex. 8(e))</w:t>
            </w:r>
          </w:p>
        </w:tc>
      </w:tr>
    </w:tbl>
    <w:p w14:paraId="1ED8E325" w14:textId="77777777" w:rsidR="006E36CD" w:rsidRDefault="00000000">
      <w:pPr>
        <w:spacing w:after="160" w:line="276" w:lineRule="auto"/>
      </w:pPr>
      <w:r>
        <w:t>On these confirmed figures, Ashby's $133,318.81 personal fee in the Allison matter is the single highest compensation she is known to have earned in any matter identified in this investigation — nearly double the $68,450.38 she earned for a single hearing day in the Logsdon matter, and roughly thirty-four times the $3,915.00 Poolwerx baseline. The Logsdon figure is itself notable — approximately seventeen times the Poolwerx baseline for a nominally comparable one-day format, paired with an agreement that no recording of the hearing would be made — but the Allison compensation is the largest confirmed figure in the set, in the one case where the Complainant also alleges a 35–40 year undisclosed relationship with opposing counsel.</w:t>
      </w:r>
    </w:p>
    <w:p w14:paraId="018EB5EC" w14:textId="77777777" w:rsidR="006E36CD" w:rsidRDefault="00000000">
      <w:pPr>
        <w:pStyle w:val="Heading2"/>
        <w:spacing w:before="240" w:after="120"/>
      </w:pPr>
      <w:r>
        <w:rPr>
          <w:b/>
          <w:bCs/>
          <w:sz w:val="22"/>
          <w:szCs w:val="22"/>
        </w:rPr>
        <w:lastRenderedPageBreak/>
        <w:t>C. Reasoning-Quality Disparity</w:t>
      </w:r>
    </w:p>
    <w:p w14:paraId="5AE5CA0B" w14:textId="77777777" w:rsidR="006E36CD" w:rsidRDefault="00000000">
      <w:pPr>
        <w:spacing w:after="160" w:line="276" w:lineRule="auto"/>
      </w:pPr>
      <w:r>
        <w:t>A review of publicly available AAA Consumer decisions and confirmed commercial awards shows detailed, legally reasoned awards issued in matters where institutional or represented commercial parties prevailed, alongside sparse, conclusory awards issued in matters where pro se or non-appearing parties lost. Representative examples: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2000"/>
        <w:gridCol w:w="4650"/>
      </w:tblGrid>
      <w:tr w:rsidR="006E36CD" w14:paraId="54E23CD5" w14:textId="77777777">
        <w:trPr>
          <w:tblHeader/>
        </w:trPr>
        <w:tc>
          <w:tcPr>
            <w:tcW w:w="27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3C84E163" w14:textId="77777777" w:rsidR="006E36CD" w:rsidRDefault="00000000">
            <w:r>
              <w:rPr>
                <w:b/>
                <w:bCs/>
                <w:color w:val="FFFFFF"/>
                <w:sz w:val="18"/>
                <w:szCs w:val="18"/>
              </w:rPr>
              <w:t>Matter</w:t>
            </w:r>
          </w:p>
        </w:tc>
        <w:tc>
          <w:tcPr>
            <w:tcW w:w="20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50C76CA7" w14:textId="77777777" w:rsidR="006E36CD" w:rsidRDefault="00000000">
            <w:r>
              <w:rPr>
                <w:b/>
                <w:bCs/>
                <w:color w:val="FFFFFF"/>
                <w:sz w:val="18"/>
                <w:szCs w:val="18"/>
              </w:rPr>
              <w:t>Prevailing Party</w:t>
            </w:r>
          </w:p>
        </w:tc>
        <w:tc>
          <w:tcPr>
            <w:tcW w:w="465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0DA02CC5" w14:textId="77777777" w:rsidR="006E36CD" w:rsidRDefault="00000000">
            <w:r>
              <w:rPr>
                <w:b/>
                <w:bCs/>
                <w:color w:val="FFFFFF"/>
                <w:sz w:val="18"/>
                <w:szCs w:val="18"/>
              </w:rPr>
              <w:t>Reasoning Quality (as published)</w:t>
            </w:r>
          </w:p>
        </w:tc>
      </w:tr>
      <w:tr w:rsidR="006E36CD" w14:paraId="5090880E" w14:textId="77777777">
        <w:tc>
          <w:tcPr>
            <w:tcW w:w="2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644AB39" w14:textId="77777777" w:rsidR="006E36CD" w:rsidRDefault="00000000">
            <w:r>
              <w:rPr>
                <w:sz w:val="18"/>
                <w:szCs w:val="18"/>
              </w:rPr>
              <w:t>Floyd v. MMWKM Advisors (AAA, 2022)</w:t>
            </w:r>
          </w:p>
        </w:tc>
        <w:tc>
          <w:tcPr>
            <w:tcW w:w="2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3695624" w14:textId="77777777" w:rsidR="006E36CD" w:rsidRDefault="00000000">
            <w:r>
              <w:rPr>
                <w:sz w:val="18"/>
                <w:szCs w:val="18"/>
              </w:rPr>
              <w:t>Institutional claimant</w:t>
            </w:r>
          </w:p>
        </w:tc>
        <w:tc>
          <w:tcPr>
            <w:tcW w:w="4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B1A71E7" w14:textId="77777777" w:rsidR="006E36CD" w:rsidRDefault="00000000">
            <w:r>
              <w:rPr>
                <w:sz w:val="18"/>
                <w:szCs w:val="18"/>
              </w:rPr>
              <w:t>Detailed — extensive financial analysis</w:t>
            </w:r>
          </w:p>
        </w:tc>
      </w:tr>
      <w:tr w:rsidR="006E36CD" w14:paraId="589FC351" w14:textId="77777777">
        <w:tc>
          <w:tcPr>
            <w:tcW w:w="2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3C05275" w14:textId="77777777" w:rsidR="006E36CD" w:rsidRPr="00346565" w:rsidRDefault="00000000">
            <w:pPr>
              <w:rPr>
                <w:lang w:val="it-IT"/>
              </w:rPr>
            </w:pPr>
            <w:r>
              <w:rPr>
                <w:sz w:val="18"/>
                <w:szCs w:val="18"/>
                <w:lang w:val="it-IT"/>
              </w:rPr>
              <w:t>LALO v. Hawk/Colton (AAA, 2018)</w:t>
            </w:r>
          </w:p>
        </w:tc>
        <w:tc>
          <w:tcPr>
            <w:tcW w:w="2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4283663" w14:textId="77777777" w:rsidR="006E36CD" w:rsidRDefault="00000000">
            <w:r>
              <w:rPr>
                <w:sz w:val="18"/>
                <w:szCs w:val="18"/>
              </w:rPr>
              <w:t>Institutional respondent</w:t>
            </w:r>
          </w:p>
        </w:tc>
        <w:tc>
          <w:tcPr>
            <w:tcW w:w="4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5BB2C4F" w14:textId="77777777" w:rsidR="006E36CD" w:rsidRDefault="00000000">
            <w:r>
              <w:rPr>
                <w:sz w:val="18"/>
                <w:szCs w:val="18"/>
              </w:rPr>
              <w:t>Detailed — 4-day hearing with extensive factual findings</w:t>
            </w:r>
          </w:p>
        </w:tc>
      </w:tr>
      <w:tr w:rsidR="006E36CD" w14:paraId="5E5B7189" w14:textId="77777777">
        <w:tc>
          <w:tcPr>
            <w:tcW w:w="2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414D47E" w14:textId="77777777" w:rsidR="006E36CD" w:rsidRDefault="00000000">
            <w:r>
              <w:rPr>
                <w:sz w:val="18"/>
                <w:szCs w:val="18"/>
              </w:rPr>
              <w:t>AAA Consumer, LEXIS 109 (2016)</w:t>
            </w:r>
          </w:p>
        </w:tc>
        <w:tc>
          <w:tcPr>
            <w:tcW w:w="2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E28A5FD" w14:textId="77777777" w:rsidR="006E36CD" w:rsidRDefault="00000000">
            <w:r>
              <w:rPr>
                <w:sz w:val="18"/>
                <w:szCs w:val="18"/>
              </w:rPr>
              <w:t>Organization</w:t>
            </w:r>
          </w:p>
        </w:tc>
        <w:tc>
          <w:tcPr>
            <w:tcW w:w="4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874A7EF" w14:textId="77777777" w:rsidR="006E36CD" w:rsidRDefault="00000000">
            <w:r>
              <w:rPr>
                <w:sz w:val="18"/>
                <w:szCs w:val="18"/>
              </w:rPr>
              <w:t>Bare conclusion — very limited explanation</w:t>
            </w:r>
          </w:p>
        </w:tc>
      </w:tr>
      <w:tr w:rsidR="006E36CD" w14:paraId="045879A1" w14:textId="77777777">
        <w:tc>
          <w:tcPr>
            <w:tcW w:w="2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51F7C51" w14:textId="77777777" w:rsidR="006E36CD" w:rsidRDefault="00000000">
            <w:r>
              <w:rPr>
                <w:sz w:val="18"/>
                <w:szCs w:val="18"/>
              </w:rPr>
              <w:t>AAA Consumer, LEXIS 692 (2019)</w:t>
            </w:r>
          </w:p>
        </w:tc>
        <w:tc>
          <w:tcPr>
            <w:tcW w:w="2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3F130AD" w14:textId="77777777" w:rsidR="006E36CD" w:rsidRDefault="00000000">
            <w:r>
              <w:rPr>
                <w:sz w:val="18"/>
                <w:szCs w:val="18"/>
              </w:rPr>
              <w:t>Organization</w:t>
            </w:r>
          </w:p>
        </w:tc>
        <w:tc>
          <w:tcPr>
            <w:tcW w:w="4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6E5436C" w14:textId="77777777" w:rsidR="006E36CD" w:rsidRDefault="00000000">
            <w:r>
              <w:rPr>
                <w:sz w:val="18"/>
                <w:szCs w:val="18"/>
              </w:rPr>
              <w:t>Single sentence — bare-conclusion award</w:t>
            </w:r>
          </w:p>
        </w:tc>
      </w:tr>
      <w:tr w:rsidR="006E36CD" w14:paraId="6341441C" w14:textId="77777777">
        <w:tc>
          <w:tcPr>
            <w:tcW w:w="27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13EBE79" w14:textId="77777777" w:rsidR="006E36CD" w:rsidRDefault="00000000">
            <w:r>
              <w:rPr>
                <w:sz w:val="18"/>
                <w:szCs w:val="18"/>
              </w:rPr>
              <w:t>AAA Consumer, LEXIS 326 (2018)</w:t>
            </w:r>
          </w:p>
        </w:tc>
        <w:tc>
          <w:tcPr>
            <w:tcW w:w="2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F1E0F81" w14:textId="77777777" w:rsidR="006E36CD" w:rsidRDefault="00000000">
            <w:r>
              <w:rPr>
                <w:sz w:val="18"/>
                <w:szCs w:val="18"/>
              </w:rPr>
              <w:t>Consumer claimant</w:t>
            </w:r>
          </w:p>
        </w:tc>
        <w:tc>
          <w:tcPr>
            <w:tcW w:w="46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F45C91D" w14:textId="77777777" w:rsidR="006E36CD" w:rsidRDefault="00000000">
            <w:r>
              <w:rPr>
                <w:sz w:val="18"/>
                <w:szCs w:val="18"/>
              </w:rPr>
              <w:t>Thorough — full DTPA / treble-damages analysis (identified as the strongest-reasoned award in the sample)</w:t>
            </w:r>
          </w:p>
        </w:tc>
      </w:tr>
    </w:tbl>
    <w:p w14:paraId="59DED9A3" w14:textId="77777777" w:rsidR="006E36CD" w:rsidRDefault="00000000">
      <w:pPr>
        <w:spacing w:after="160" w:line="276" w:lineRule="auto"/>
      </w:pPr>
      <w:r>
        <w:t>The Complainant notes the LEXIS 326 result specifically because it cuts against an absolute pattern: Ashby has demonstrated the capacity to write thorough, well-reasoned awards, including in favor of a consumer claimant. The concern this section raises is not that Ashby is incapable of rigorous reasoning, but that the rigor observed does not appear evenly distributed, and that the matters most likely to escape appellate or public scrutiny — pro se, absent, or non-institutional parties — disproportionately receive the least-reasoned outcomes.</w:t>
      </w:r>
    </w:p>
    <w:p w14:paraId="55501888" w14:textId="77777777" w:rsidR="006E36CD" w:rsidRDefault="00000000">
      <w:pPr>
        <w:pStyle w:val="Heading2"/>
        <w:spacing w:before="240" w:after="120"/>
      </w:pPr>
      <w:r>
        <w:rPr>
          <w:b/>
          <w:bCs/>
          <w:sz w:val="22"/>
          <w:szCs w:val="22"/>
        </w:rPr>
        <w:t>D. Basis for Commission Consideration</w:t>
      </w:r>
    </w:p>
    <w:p w14:paraId="7CC9FCD5" w14:textId="77777777" w:rsidR="006E36CD" w:rsidRDefault="00000000">
      <w:pPr>
        <w:spacing w:after="160" w:line="276" w:lineRule="auto"/>
      </w:pPr>
      <w:r>
        <w:t>The available record raises a substantial, good-faith question whether material relationships and procedural circumstances were disclosed with sufficient completeness and timing to permit informed objections, in more than one arbitration Ashby has presided over. The public decision sample also reveals repeated instances of sparse reasoning in cases involving pro se, absent, or institutionally-outmatched parties. These circumstances do not independently prove actual bias, but the Complainant submits that it justifies targeted discovery, authentication of the underlying arbitration records, and Commission review for a recurring pattern of incomplete or belated disclosure.</w:t>
      </w:r>
    </w:p>
    <w:p w14:paraId="6BF57901" w14:textId="77777777" w:rsidR="006E36CD" w:rsidRDefault="00000000">
      <w:pPr>
        <w:pStyle w:val="Heading2"/>
        <w:spacing w:before="240" w:after="120"/>
      </w:pPr>
      <w:r>
        <w:rPr>
          <w:b/>
          <w:bCs/>
          <w:sz w:val="22"/>
          <w:szCs w:val="22"/>
        </w:rPr>
        <w:t>E. Additional Witnesses: Individuals Who Have Come Forward Regarding Ashby's Disclosure Practices</w:t>
      </w:r>
    </w:p>
    <w:p w14:paraId="432FFE58" w14:textId="77777777" w:rsidR="006E36CD" w:rsidRDefault="00000000">
      <w:pPr>
        <w:spacing w:after="160" w:line="276" w:lineRule="auto"/>
      </w:pPr>
      <w:r>
        <w:t>Beyond Mr. Logsdon’s sworn complaint (Section VI, above), the Damn Lawyers investigative series and accompanying consumer-alert reporting identify additional individuals — arbitrating unrelated disputes before Ashby, represented by different counsel, in different years — who describe a similar pattern of concealed or belated conflict disclosure. The Complainant identifies them here as potential witnesses whose accounts, and the underlying arbitration records in their respective matters, the Commission may wish to review directly rather than rely on this complaint's characterization of them.</w:t>
      </w:r>
    </w:p>
    <w:p w14:paraId="233D4DDD" w14:textId="77777777" w:rsidR="006E36CD" w:rsidRDefault="00000000">
      <w:pPr>
        <w:pStyle w:val="ListParagraph"/>
        <w:numPr>
          <w:ilvl w:val="0"/>
          <w:numId w:val="1"/>
        </w:numPr>
        <w:spacing w:after="120" w:line="276" w:lineRule="auto"/>
      </w:pPr>
      <w:r>
        <w:rPr>
          <w:b/>
          <w:bCs/>
        </w:rPr>
        <w:t xml:space="preserve">Philip Floyd: </w:t>
      </w:r>
      <w:r>
        <w:t>Featured in earlier installments of the Damn Lawyers series and described in June 2026 consumer-alert reporting as “among the first to corroborate Ashby’s alleged pattern.” Floyd’s arbitration, Floyd v. MMWKM Advisors (AAA, 2022), resulted in a confirmed judgment of approximately $1.4 million against him, affirmed on appeal by the Fifth Court of Appeals; see Section VII(B)–(C), above, for the confirmed award and reasoning-quality data from that matter.</w:t>
      </w:r>
    </w:p>
    <w:p w14:paraId="01E0CD3D" w14:textId="77777777" w:rsidR="006E36CD" w:rsidRDefault="00000000">
      <w:pPr>
        <w:pStyle w:val="ListParagraph"/>
        <w:numPr>
          <w:ilvl w:val="0"/>
          <w:numId w:val="1"/>
        </w:numPr>
        <w:spacing w:after="120" w:line="276" w:lineRule="auto"/>
      </w:pPr>
      <w:r>
        <w:rPr>
          <w:b/>
          <w:bCs/>
        </w:rPr>
        <w:t xml:space="preserve">Eric Colton: </w:t>
      </w:r>
      <w:r>
        <w:t>Reported in the same June 2026 consumer alert as having “come forward” with concerns about Ashby’s disclosure practices. Colton’s arbitration, LALO v. Hawk/Colton (AAA, 2018), resulted in a confirmed award of approximately $1.34 million, confirmed by the U.S. District Court for the Northern District of Texas; see Section VII(B), above.</w:t>
      </w:r>
    </w:p>
    <w:p w14:paraId="282E483F" w14:textId="77777777" w:rsidR="006E36CD" w:rsidRDefault="00000000">
      <w:pPr>
        <w:pStyle w:val="ListParagraph"/>
        <w:numPr>
          <w:ilvl w:val="0"/>
          <w:numId w:val="1"/>
        </w:numPr>
        <w:spacing w:after="120" w:line="276" w:lineRule="auto"/>
      </w:pPr>
      <w:r>
        <w:rPr>
          <w:b/>
          <w:bCs/>
        </w:rPr>
        <w:t xml:space="preserve">Mark Logsdon: </w:t>
      </w:r>
      <w:r>
        <w:t xml:space="preserve">In addition to the sworn, notarized SCJC complaint discussed at length in Section VI, the June 2026 consumer-alert reporting attributes further specific allegations to Logsdon concerning the same CoVerica arbitration: that Ashby disclosed a conflict involving opposing counsel only approximately nine minutes before the </w:t>
      </w:r>
      <w:r>
        <w:lastRenderedPageBreak/>
        <w:t>arbitration began; that she allegedly winked at opposing counsel during the proceeding; and that her ruling was, in Logsdon’s characterization, nearly 95% identical to what opposing counsel had proposed. The Complainant notes that this video-reported account describes the disclosure timing somewhat differently than Logsdon’s own sworn complaint (which identifies the George Flint disclosure as occurring the morning of the final hearing) — the Commission may wish to clarify which specific disclosure, if either account refers to a different one, each source describes.</w:t>
      </w:r>
    </w:p>
    <w:p w14:paraId="12965D60" w14:textId="77777777" w:rsidR="006E36CD" w:rsidRDefault="00000000">
      <w:pPr>
        <w:spacing w:after="160" w:line="276" w:lineRule="auto"/>
      </w:pPr>
      <w:r>
        <w:t>The Complainant does not ask the Commission to treat these video-reported and press-reported accounts as sworn evidence; only Mr. Logsdon’s SCJC complaint (Ex. 12(a)–(b)) is presented as a verified filing. The Complainant offers Mr. Floyd’s and Mr. Colton’s accounts, and the additional detail reported regarding Mr. Logsdon, as further investigative leads corroborating the pattern identified in this section, and requests that the Commission consider contacting each individual directly. See Ex. 16.</w:t>
      </w:r>
    </w:p>
    <w:p w14:paraId="2D88F71B" w14:textId="77777777" w:rsidR="006E36CD" w:rsidRDefault="00000000">
      <w:pPr>
        <w:pStyle w:val="Heading1"/>
        <w:spacing w:before="320" w:after="160"/>
      </w:pPr>
      <w:r>
        <w:rPr>
          <w:b/>
          <w:bCs/>
          <w:caps/>
          <w:color w:val="1B2A4A"/>
          <w:sz w:val="24"/>
          <w:szCs w:val="24"/>
        </w:rPr>
        <w:t>VIII. Questions the Commission Should Investigate</w:t>
      </w:r>
    </w:p>
    <w:p w14:paraId="7A7C885E" w14:textId="77777777" w:rsidR="006E36CD" w:rsidRDefault="00000000">
      <w:pPr>
        <w:pStyle w:val="ListParagraph"/>
        <w:numPr>
          <w:ilvl w:val="0"/>
          <w:numId w:val="2"/>
        </w:numPr>
        <w:spacing w:after="140" w:line="276" w:lineRule="auto"/>
      </w:pPr>
      <w:r>
        <w:t>What conflict checks Anne Ashby performed before accepting the Allison appointment, and what those searches produced.</w:t>
      </w:r>
    </w:p>
    <w:p w14:paraId="16887BE2" w14:textId="77777777" w:rsidR="006E36CD" w:rsidRDefault="00000000">
      <w:pPr>
        <w:pStyle w:val="ListParagraph"/>
        <w:numPr>
          <w:ilvl w:val="0"/>
          <w:numId w:val="2"/>
        </w:numPr>
        <w:spacing w:after="140" w:line="276" w:lineRule="auto"/>
      </w:pPr>
      <w:r>
        <w:t>What Ashby knew concerning Michael Collins before signing her September 30, 2022 oath, and why the divorce representation and firm employment were not disclosed before appointment.</w:t>
      </w:r>
    </w:p>
    <w:p w14:paraId="0D0538A3" w14:textId="77777777" w:rsidR="006E36CD" w:rsidRDefault="00000000">
      <w:pPr>
        <w:pStyle w:val="ListParagraph"/>
        <w:numPr>
          <w:ilvl w:val="0"/>
          <w:numId w:val="2"/>
        </w:numPr>
        <w:spacing w:after="140" w:line="276" w:lineRule="auto"/>
      </w:pPr>
      <w:r>
        <w:t>Whether the June 15, 2023 disclosure accurately described the duration and significance of the Collins relationship.</w:t>
      </w:r>
    </w:p>
    <w:p w14:paraId="1C5A8D26" w14:textId="77777777" w:rsidR="006E36CD" w:rsidRDefault="00000000">
      <w:pPr>
        <w:pStyle w:val="ListParagraph"/>
        <w:numPr>
          <w:ilvl w:val="0"/>
          <w:numId w:val="2"/>
        </w:numPr>
        <w:spacing w:after="140" w:line="276" w:lineRule="auto"/>
      </w:pPr>
      <w:r>
        <w:t>What Ashby knew concerning her April 2009 Chapter 7 bankruptcy filed as “Anne Duren,” whether firm income was omitted from the sworn schedules, and whether that omission affected her bankruptcy eligibility.</w:t>
      </w:r>
    </w:p>
    <w:p w14:paraId="58E5ACAA" w14:textId="77777777" w:rsidR="006E36CD" w:rsidRDefault="00000000">
      <w:pPr>
        <w:pStyle w:val="ListParagraph"/>
        <w:numPr>
          <w:ilvl w:val="0"/>
          <w:numId w:val="2"/>
        </w:numPr>
        <w:spacing w:after="140" w:line="276" w:lineRule="auto"/>
      </w:pPr>
      <w:r>
        <w:t>What Ashby knew concerning Keith Staubus and Steven L. Besly, and when.</w:t>
      </w:r>
    </w:p>
    <w:p w14:paraId="7E1DE8FE" w14:textId="77777777" w:rsidR="006E36CD" w:rsidRDefault="00000000">
      <w:pPr>
        <w:pStyle w:val="ListParagraph"/>
        <w:numPr>
          <w:ilvl w:val="0"/>
          <w:numId w:val="2"/>
        </w:numPr>
        <w:spacing w:after="140" w:line="276" w:lineRule="auto"/>
      </w:pPr>
      <w:r>
        <w:t>Whether Ashby’s $133,318.81 personal compensation in this matter — the highest confirmed fee she is known to have earned in any single arbitration — created an undisclosed incentive against recusal once the Collins relationship became relevant.</w:t>
      </w:r>
    </w:p>
    <w:p w14:paraId="5C806669" w14:textId="77777777" w:rsidR="006E36CD" w:rsidRDefault="00000000">
      <w:pPr>
        <w:pStyle w:val="ListParagraph"/>
        <w:numPr>
          <w:ilvl w:val="0"/>
          <w:numId w:val="2"/>
        </w:numPr>
        <w:spacing w:after="140" w:line="276" w:lineRule="auto"/>
      </w:pPr>
      <w:r>
        <w:t>Whether the disclosure timing pattern identified in Mr. Logsdon’s independently sworn complaint, and in Section VII of this complaint, reflects a broader practice across Ashby’s arbitration appointments generally, including but not limited to the CoVerica v. Logsdon, Floyd v. MMWKM Advisors, LALO v. Hawk/Colton, and Poolwerx v. Bussenius matters.</w:t>
      </w:r>
    </w:p>
    <w:p w14:paraId="44E5BA03" w14:textId="77777777" w:rsidR="006E36CD" w:rsidRDefault="00000000">
      <w:pPr>
        <w:pStyle w:val="ListParagraph"/>
        <w:numPr>
          <w:ilvl w:val="0"/>
          <w:numId w:val="2"/>
        </w:numPr>
        <w:spacing w:after="140" w:line="276" w:lineRule="auto"/>
      </w:pPr>
      <w:r>
        <w:t>Whether Ashby's overall conduct complied with Canons 1, 2, and 3 of the Texas Code of Judicial Conduct.</w:t>
      </w:r>
    </w:p>
    <w:p w14:paraId="3C1DE633" w14:textId="77777777" w:rsidR="006E36CD" w:rsidRDefault="00000000">
      <w:pPr>
        <w:pStyle w:val="ListParagraph"/>
        <w:numPr>
          <w:ilvl w:val="0"/>
          <w:numId w:val="2"/>
        </w:numPr>
        <w:spacing w:after="140" w:line="276" w:lineRule="auto"/>
      </w:pPr>
      <w:r>
        <w:t>Whether Ashby reviewed, or was required by AAA rules to review, the July 11, 2023 Lawyers’ Witness Disclosures naming Michael J. Collins as a witness and counsel of record, and whether receipt of that filing should have triggered a further, more complete supplemental disclosure at that time.</w:t>
      </w:r>
    </w:p>
    <w:p w14:paraId="6214F596" w14:textId="77777777" w:rsidR="006E36CD" w:rsidRDefault="00000000">
      <w:pPr>
        <w:pStyle w:val="ListParagraph"/>
        <w:numPr>
          <w:ilvl w:val="0"/>
          <w:numId w:val="2"/>
        </w:numPr>
        <w:spacing w:after="140" w:line="276" w:lineRule="auto"/>
      </w:pPr>
      <w:r>
        <w:t>Whether the compensation disparity identified in Section VII(B) — particularly the CoVerica v. Logsdon arbitrator fee relative to the Poolwerx baseline for a comparable one-day hearing format — warrants a request for Ashby's complete fee and invoicing records across her arbitration practice.</w:t>
      </w:r>
    </w:p>
    <w:p w14:paraId="591E6B22" w14:textId="77777777" w:rsidR="006E36CD" w:rsidRDefault="00000000">
      <w:pPr>
        <w:pStyle w:val="ListParagraph"/>
        <w:numPr>
          <w:ilvl w:val="0"/>
          <w:numId w:val="2"/>
        </w:numPr>
        <w:spacing w:after="140" w:line="276" w:lineRule="auto"/>
      </w:pPr>
      <w:r>
        <w:t>Whether the legal errors identified in the pending Petition for Review, No. 26-0428 (Ex. 17) — including relief entered against non-parties and a distinct legal entity without service, and disregard of the spendthrift-trust protections of Tex. Prop. Code §112.035 — reflect a failure by Ashby to apply governing Texas law of the kind any district or appellate court would have been bound to follow, and whether that failure is relevant to assessing her fitness to continue serving as a private arbitrator.</w:t>
      </w:r>
    </w:p>
    <w:p w14:paraId="7F00E9EA" w14:textId="77777777" w:rsidR="006E36CD" w:rsidRDefault="00000000">
      <w:pPr>
        <w:pStyle w:val="Heading1"/>
        <w:spacing w:before="320" w:after="160"/>
      </w:pPr>
      <w:r>
        <w:rPr>
          <w:b/>
          <w:bCs/>
          <w:caps/>
          <w:color w:val="1B2A4A"/>
          <w:sz w:val="24"/>
          <w:szCs w:val="24"/>
        </w:rPr>
        <w:t>IX. Records Requested for Preservation</w:t>
      </w:r>
    </w:p>
    <w:p w14:paraId="611AABCB" w14:textId="77777777" w:rsidR="006E36CD" w:rsidRDefault="00000000">
      <w:pPr>
        <w:pStyle w:val="ListParagraph"/>
        <w:numPr>
          <w:ilvl w:val="0"/>
          <w:numId w:val="1"/>
        </w:numPr>
        <w:spacing w:after="120" w:line="276" w:lineRule="auto"/>
      </w:pPr>
      <w:r>
        <w:t>AAA arbitrator candidate materials, oath, initial and supplemental disclosures, and conflict-check documentation for AAA No. 01-22-0000-9524;</w:t>
      </w:r>
    </w:p>
    <w:p w14:paraId="573D7944" w14:textId="77777777" w:rsidR="006E36CD" w:rsidRDefault="00000000">
      <w:pPr>
        <w:pStyle w:val="ListParagraph"/>
        <w:numPr>
          <w:ilvl w:val="0"/>
          <w:numId w:val="1"/>
        </w:numPr>
        <w:spacing w:after="120" w:line="276" w:lineRule="auto"/>
      </w:pPr>
      <w:r>
        <w:lastRenderedPageBreak/>
        <w:t>Ashby's conflict-search results, calendars, engagement records, and law-firm affiliation records, including Shields Legal Group and Collins Basinger &amp; Pullman;</w:t>
      </w:r>
    </w:p>
    <w:p w14:paraId="6C61FC78" w14:textId="77777777" w:rsidR="006E36CD" w:rsidRDefault="00000000">
      <w:pPr>
        <w:pStyle w:val="ListParagraph"/>
        <w:numPr>
          <w:ilvl w:val="0"/>
          <w:numId w:val="1"/>
        </w:numPr>
        <w:spacing w:after="120" w:line="276" w:lineRule="auto"/>
      </w:pPr>
      <w:r>
        <w:t>Federal bankruptcy court records for the Chapter 7 filing under “Anne Duren” (Eastern District of Texas, approx. April 2009), including schedules of income and assets;</w:t>
      </w:r>
    </w:p>
    <w:p w14:paraId="061F6E79" w14:textId="77777777" w:rsidR="006E36CD" w:rsidRDefault="00000000">
      <w:pPr>
        <w:pStyle w:val="ListParagraph"/>
        <w:numPr>
          <w:ilvl w:val="0"/>
          <w:numId w:val="1"/>
        </w:numPr>
        <w:spacing w:after="120" w:line="276" w:lineRule="auto"/>
      </w:pPr>
      <w:r>
        <w:t>Corporate and registered-agent records reflecting Steven L. Besly's affiliation with the Law Office of Anne Ashby, PLLC;</w:t>
      </w:r>
    </w:p>
    <w:p w14:paraId="7EDDDA91" w14:textId="77777777" w:rsidR="006E36CD" w:rsidRDefault="00000000">
      <w:pPr>
        <w:pStyle w:val="ListParagraph"/>
        <w:numPr>
          <w:ilvl w:val="0"/>
          <w:numId w:val="1"/>
        </w:numPr>
        <w:spacing w:after="120" w:line="276" w:lineRule="auto"/>
      </w:pPr>
      <w:r>
        <w:t>Hearing transcripts, evidentiary rulings, briefs, the Interim and Final Award, and Ashby's underlying invoices for the $133,318.81 in personal compensation and $56,225.00 in AAA administrative fees assessed in this matter, including a time-and-task breakdown supporting that fee;</w:t>
      </w:r>
    </w:p>
    <w:p w14:paraId="2016D8E0" w14:textId="77777777" w:rsidR="006E36CD" w:rsidRDefault="00000000">
      <w:pPr>
        <w:pStyle w:val="ListParagraph"/>
        <w:numPr>
          <w:ilvl w:val="0"/>
          <w:numId w:val="1"/>
        </w:numPr>
        <w:spacing w:after="120" w:line="276" w:lineRule="auto"/>
      </w:pPr>
      <w:r>
        <w:t>The full AAA case docket and certificate-of-service record for Case No. 01-22-0000-9524, including the December 9, 2022 Answering Statement and attached Exhibit F, and the July 11, 2023 Lawyers’ Witness Disclosures and Amended Checklist for Conflicts, and any record confirming whether and when Ashby personally received or reviewed each filing;</w:t>
      </w:r>
    </w:p>
    <w:p w14:paraId="278AC7F1" w14:textId="77777777" w:rsidR="006E36CD" w:rsidRDefault="00000000">
      <w:pPr>
        <w:pStyle w:val="ListParagraph"/>
        <w:numPr>
          <w:ilvl w:val="0"/>
          <w:numId w:val="1"/>
        </w:numPr>
        <w:spacing w:after="120" w:line="276" w:lineRule="auto"/>
      </w:pPr>
      <w:r>
        <w:t>The Commission's separately maintained file for the independent, sworn Logsdon complaint (AAA No. 01-24-0002-4821, notarized August 4, 2026), without merging that record into the Allison file;</w:t>
      </w:r>
    </w:p>
    <w:p w14:paraId="122535BB" w14:textId="77777777" w:rsidR="006E36CD" w:rsidRDefault="00000000">
      <w:pPr>
        <w:pStyle w:val="ListParagraph"/>
        <w:numPr>
          <w:ilvl w:val="0"/>
          <w:numId w:val="1"/>
        </w:numPr>
        <w:spacing w:after="120" w:line="276" w:lineRule="auto"/>
      </w:pPr>
      <w:r>
        <w:t>AAA disclosure, compensation, and award records for Floyd v. MMWKM Advisors, LALO v. Hawk/Colton, Poolwerx v. Bussenius, and any other arbitration Ashby has administered, to the extent the Commission determines a pattern inquiry under Section VII is warranted;</w:t>
      </w:r>
    </w:p>
    <w:p w14:paraId="388AFDDB" w14:textId="77777777" w:rsidR="006E36CD" w:rsidRDefault="00000000">
      <w:pPr>
        <w:pStyle w:val="ListParagraph"/>
        <w:numPr>
          <w:ilvl w:val="0"/>
          <w:numId w:val="1"/>
        </w:numPr>
        <w:spacing w:after="120" w:line="276" w:lineRule="auto"/>
      </w:pPr>
      <w:r>
        <w:t>Any records, contact information, or willingness-to-cooperate statements the Commission is able to obtain from Philip Floyd, Eric Colton, and Mark Logsdon regarding their respective arbitrations before Ashby;</w:t>
      </w:r>
    </w:p>
    <w:p w14:paraId="473999DE" w14:textId="77777777" w:rsidR="006E36CD" w:rsidRDefault="00000000">
      <w:pPr>
        <w:pStyle w:val="ListParagraph"/>
        <w:numPr>
          <w:ilvl w:val="0"/>
          <w:numId w:val="1"/>
        </w:numPr>
        <w:spacing w:after="120" w:line="276" w:lineRule="auto"/>
      </w:pPr>
      <w:r>
        <w:t>The court file in Echols v. Abaza, and any records reflecting the fee and settlement structure described in the May 26, 2026 consumer-alert reporting regarding Gail Echols and Valeriya Ruzynska;</w:t>
      </w:r>
    </w:p>
    <w:p w14:paraId="07D0B54A" w14:textId="77777777" w:rsidR="006E36CD" w:rsidRDefault="00000000">
      <w:pPr>
        <w:pStyle w:val="ListParagraph"/>
        <w:numPr>
          <w:ilvl w:val="0"/>
          <w:numId w:val="1"/>
        </w:numPr>
        <w:spacing w:after="120" w:line="276" w:lineRule="auto"/>
      </w:pPr>
      <w:r>
        <w:t>The full record in In re Allison, No. 26-0428 (Tex.), including the Petition for Review and any response, to the extent the outcome or the parties' briefing bears on the Commission's assessment of Ashby's conduct.</w:t>
      </w:r>
    </w:p>
    <w:p w14:paraId="6CC790FA" w14:textId="77777777" w:rsidR="006E36CD" w:rsidRDefault="00000000">
      <w:pPr>
        <w:pStyle w:val="Heading1"/>
        <w:spacing w:before="320" w:after="160"/>
      </w:pPr>
      <w:r>
        <w:rPr>
          <w:b/>
          <w:bCs/>
          <w:caps/>
          <w:color w:val="1B2A4A"/>
          <w:sz w:val="24"/>
          <w:szCs w:val="24"/>
        </w:rPr>
        <w:t>X. Exhibit Index</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7850"/>
      </w:tblGrid>
      <w:tr w:rsidR="006E36CD" w14:paraId="7F253379" w14:textId="77777777">
        <w:trPr>
          <w:tblHeader/>
        </w:trPr>
        <w:tc>
          <w:tcPr>
            <w:tcW w:w="150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3F11B065" w14:textId="77777777" w:rsidR="006E36CD" w:rsidRDefault="00000000">
            <w:r>
              <w:rPr>
                <w:b/>
                <w:bCs/>
                <w:color w:val="FFFFFF"/>
                <w:sz w:val="18"/>
                <w:szCs w:val="18"/>
              </w:rPr>
              <w:t>Exhibit</w:t>
            </w:r>
          </w:p>
        </w:tc>
        <w:tc>
          <w:tcPr>
            <w:tcW w:w="7850" w:type="dxa"/>
            <w:tcBorders>
              <w:top w:val="single" w:sz="4" w:space="0" w:color="999999"/>
              <w:left w:val="single" w:sz="4" w:space="0" w:color="999999"/>
              <w:bottom w:val="single" w:sz="4" w:space="0" w:color="999999"/>
              <w:right w:val="single" w:sz="4" w:space="0" w:color="999999"/>
            </w:tcBorders>
            <w:shd w:val="clear" w:color="auto" w:fill="1B2A4A"/>
            <w:tcMar>
              <w:top w:w="80" w:type="dxa"/>
              <w:left w:w="100" w:type="dxa"/>
              <w:bottom w:w="80" w:type="dxa"/>
              <w:right w:w="100" w:type="dxa"/>
            </w:tcMar>
            <w:vAlign w:val="center"/>
          </w:tcPr>
          <w:p w14:paraId="24A8E9FC" w14:textId="77777777" w:rsidR="006E36CD" w:rsidRDefault="00000000">
            <w:r>
              <w:rPr>
                <w:b/>
                <w:bCs/>
                <w:color w:val="FFFFFF"/>
                <w:sz w:val="18"/>
                <w:szCs w:val="18"/>
              </w:rPr>
              <w:t>Description</w:t>
            </w:r>
          </w:p>
        </w:tc>
      </w:tr>
      <w:tr w:rsidR="006E36CD" w14:paraId="6BB5AB38"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1349B5F" w14:textId="77777777" w:rsidR="006E36CD" w:rsidRDefault="00000000">
            <w:r>
              <w:rPr>
                <w:sz w:val="18"/>
                <w:szCs w:val="18"/>
              </w:rPr>
              <w:t>Ex. 1(a)–(f)</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A39736F" w14:textId="77777777" w:rsidR="006E36CD" w:rsidRDefault="00000000">
            <w:pPr>
              <w:spacing w:after="60"/>
            </w:pPr>
            <w:r>
              <w:rPr>
                <w:sz w:val="18"/>
                <w:szCs w:val="18"/>
              </w:rPr>
              <w:t>Dolcefino Media, “Damn Lawyers” investigative video series (6 parts):</w:t>
            </w:r>
          </w:p>
          <w:p w14:paraId="390E670E" w14:textId="77777777" w:rsidR="006E36CD" w:rsidRDefault="00000000">
            <w:pPr>
              <w:spacing w:after="60"/>
            </w:pPr>
            <w:r>
              <w:rPr>
                <w:sz w:val="18"/>
                <w:szCs w:val="18"/>
              </w:rPr>
              <w:t>(a) “Damn Lawyers” — https://youtu.be/j5aWUy6oJT0</w:t>
            </w:r>
          </w:p>
          <w:p w14:paraId="789455FB" w14:textId="77777777" w:rsidR="006E36CD" w:rsidRDefault="00000000">
            <w:pPr>
              <w:spacing w:after="60"/>
            </w:pPr>
            <w:r>
              <w:rPr>
                <w:sz w:val="18"/>
                <w:szCs w:val="18"/>
              </w:rPr>
              <w:t>(b) “Damn Lawyers 2: The Stench of Cronyism” — https://youtu.be/lgHSGHJc7xE</w:t>
            </w:r>
          </w:p>
          <w:p w14:paraId="6DB36C7A" w14:textId="77777777" w:rsidR="006E36CD" w:rsidRDefault="00000000">
            <w:pPr>
              <w:spacing w:after="60"/>
            </w:pPr>
            <w:r>
              <w:rPr>
                <w:sz w:val="18"/>
                <w:szCs w:val="18"/>
              </w:rPr>
              <w:t>(c) “Damn Lawyers 3: A Deception” (title inferred from Dolcefino Media’s publication chronology between (b) and (d); episode ID not independently confirmed against the YouTube listing itself — verify before reliance) — https://www.youtube.com/watch?v=aHmMY9aU5_g</w:t>
            </w:r>
          </w:p>
          <w:p w14:paraId="17556C8C" w14:textId="77777777" w:rsidR="006E36CD" w:rsidRDefault="00000000">
            <w:pPr>
              <w:spacing w:after="60"/>
            </w:pPr>
            <w:r>
              <w:rPr>
                <w:sz w:val="18"/>
                <w:szCs w:val="18"/>
              </w:rPr>
              <w:t>(d) “Damn Lawyers: Probate Plot” — https://www.youtube.com/watch?v=mzxglv2wZHg</w:t>
            </w:r>
          </w:p>
          <w:p w14:paraId="433203D0" w14:textId="77777777" w:rsidR="006E36CD" w:rsidRDefault="00000000">
            <w:pPr>
              <w:spacing w:after="60"/>
            </w:pPr>
            <w:r>
              <w:rPr>
                <w:sz w:val="18"/>
                <w:szCs w:val="18"/>
              </w:rPr>
              <w:t>(e) “Damn Lawyers: Arbitration Trap” — https://youtu.be/kAdZuU9R3Hw</w:t>
            </w:r>
          </w:p>
          <w:p w14:paraId="70C90AF1" w14:textId="77777777" w:rsidR="006E36CD" w:rsidRDefault="00000000">
            <w:pPr>
              <w:spacing w:after="60"/>
            </w:pPr>
            <w:r>
              <w:rPr>
                <w:sz w:val="18"/>
                <w:szCs w:val="18"/>
              </w:rPr>
              <w:t>(f) “Circle Jerk” (the video’s actual title per Dolcefino Media’s own site; the Aug. 2026 consumer alert’s reference to “A Circle of Jerks” was a paraphrase, not the title) — https://youtu.be/CPxpeCqlU1Y</w:t>
            </w:r>
          </w:p>
        </w:tc>
      </w:tr>
      <w:tr w:rsidR="006E36CD" w14:paraId="6D373492"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376844C" w14:textId="77777777" w:rsidR="006E36CD" w:rsidRDefault="00000000">
            <w:r>
              <w:rPr>
                <w:sz w:val="18"/>
                <w:szCs w:val="18"/>
              </w:rPr>
              <w:t>Ex. 2</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4BE2250" w14:textId="77777777" w:rsidR="006E36CD" w:rsidRDefault="00000000">
            <w:r>
              <w:rPr>
                <w:sz w:val="18"/>
                <w:szCs w:val="18"/>
              </w:rPr>
              <w:t>damnlawyers.com — Dolcefino Media’s companion website compiling the “Damn Lawyers” investigation, related court documents, and consumer-alert reporting</w:t>
            </w:r>
          </w:p>
        </w:tc>
      </w:tr>
      <w:tr w:rsidR="006E36CD" w14:paraId="5A78E1FE"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9E8B940" w14:textId="77777777" w:rsidR="006E36CD" w:rsidRDefault="00000000">
            <w:r>
              <w:rPr>
                <w:sz w:val="18"/>
                <w:szCs w:val="18"/>
              </w:rPr>
              <w:t>Ex. 3</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017C1F6" w14:textId="77777777" w:rsidR="006E36CD" w:rsidRDefault="00000000">
            <w:r>
              <w:rPr>
                <w:sz w:val="18"/>
                <w:szCs w:val="18"/>
              </w:rPr>
              <w:t>Gail Echols testimonial video, “How did my lawyers make more money off of my inheritance than I did?” — https://www.youtube.com/watch?v=0vN_m_JAOQo</w:t>
            </w:r>
          </w:p>
        </w:tc>
      </w:tr>
      <w:tr w:rsidR="006E36CD" w14:paraId="3121D7D6"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A82AF34" w14:textId="77777777" w:rsidR="006E36CD" w:rsidRDefault="00000000">
            <w:r>
              <w:rPr>
                <w:sz w:val="18"/>
                <w:szCs w:val="18"/>
              </w:rPr>
              <w:t>Ex. 4–5</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288473E" w14:textId="77777777" w:rsidR="006E36CD" w:rsidRDefault="00000000">
            <w:r>
              <w:rPr>
                <w:sz w:val="18"/>
                <w:szCs w:val="18"/>
              </w:rPr>
              <w:t>Consumer-alert press coverage of the underlying dispute</w:t>
            </w:r>
          </w:p>
        </w:tc>
      </w:tr>
      <w:tr w:rsidR="006E36CD" w14:paraId="68E430D2"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A61FD10" w14:textId="77777777" w:rsidR="006E36CD" w:rsidRDefault="00000000">
            <w:r>
              <w:rPr>
                <w:sz w:val="18"/>
                <w:szCs w:val="18"/>
              </w:rPr>
              <w:t>Ex. 6(a)–(j)</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C36443A" w14:textId="77777777" w:rsidR="006E36CD" w:rsidRDefault="00000000">
            <w:r>
              <w:rPr>
                <w:sz w:val="18"/>
                <w:szCs w:val="18"/>
              </w:rPr>
              <w:t>Ashby's AAA disclosure statements, oath, resume, and compensation agreements (Sept. 2022–Jun. 2023)</w:t>
            </w:r>
          </w:p>
        </w:tc>
      </w:tr>
      <w:tr w:rsidR="006E36CD" w14:paraId="0DC89809"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531DAA2" w14:textId="77777777" w:rsidR="006E36CD" w:rsidRDefault="00000000">
            <w:r>
              <w:rPr>
                <w:sz w:val="18"/>
                <w:szCs w:val="18"/>
              </w:rPr>
              <w:lastRenderedPageBreak/>
              <w:t>Ex. 7</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49D335F" w14:textId="77777777" w:rsidR="006E36CD" w:rsidRDefault="00000000">
            <w:r>
              <w:rPr>
                <w:sz w:val="18"/>
                <w:szCs w:val="18"/>
              </w:rPr>
              <w:t>AAA arbitrator compensation records ($133,318.81 in personal arbitrator compensation and $56,225.00 in AAA administrative fees, per the Final Award; underlying time-and-task invoices not yet produced)</w:t>
            </w:r>
          </w:p>
        </w:tc>
      </w:tr>
      <w:tr w:rsidR="006E36CD" w14:paraId="550A5FF6"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37D408C" w14:textId="77777777" w:rsidR="006E36CD" w:rsidRDefault="00000000">
            <w:r>
              <w:rPr>
                <w:sz w:val="18"/>
                <w:szCs w:val="18"/>
              </w:rPr>
              <w:t>Ex. 8(a)–(e)</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7222C4D" w14:textId="77777777" w:rsidR="006E36CD" w:rsidRDefault="00000000">
            <w:r>
              <w:rPr>
                <w:sz w:val="18"/>
                <w:szCs w:val="18"/>
              </w:rPr>
              <w:t>Post-hearing brief, Interim Award, fee affidavit, Final Award, and final judgment</w:t>
            </w:r>
          </w:p>
        </w:tc>
      </w:tr>
      <w:tr w:rsidR="006E36CD" w14:paraId="59443B11"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A103FFB" w14:textId="77777777" w:rsidR="006E36CD" w:rsidRDefault="00000000">
            <w:r>
              <w:rPr>
                <w:sz w:val="18"/>
                <w:szCs w:val="18"/>
              </w:rPr>
              <w:t>Ex. 9</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C732AF8" w14:textId="77777777" w:rsidR="006E36CD" w:rsidRDefault="00000000">
            <w:r>
              <w:rPr>
                <w:sz w:val="18"/>
                <w:szCs w:val="18"/>
              </w:rPr>
              <w:t>Order No. 6 / Omnibus Order No. 2 — Minaki LP account freeze</w:t>
            </w:r>
          </w:p>
        </w:tc>
      </w:tr>
      <w:tr w:rsidR="006E36CD" w14:paraId="64E8E3DD"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99AE640" w14:textId="77777777" w:rsidR="006E36CD" w:rsidRDefault="00000000">
            <w:r>
              <w:rPr>
                <w:sz w:val="18"/>
                <w:szCs w:val="18"/>
              </w:rPr>
              <w:t>Ex. 10</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67FEE62" w14:textId="77777777" w:rsidR="006E36CD" w:rsidRDefault="00000000">
            <w:r>
              <w:rPr>
                <w:sz w:val="18"/>
                <w:szCs w:val="18"/>
              </w:rPr>
              <w:t>Dolcefino Consulting expert report; bankruptcy records filed under “Anne Duren”; Besly registered-agent records; Staubus expert report</w:t>
            </w:r>
          </w:p>
        </w:tc>
      </w:tr>
      <w:tr w:rsidR="006E36CD" w14:paraId="6EBA3630"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57A9350" w14:textId="77777777" w:rsidR="006E36CD" w:rsidRDefault="00000000">
            <w:r>
              <w:rPr>
                <w:sz w:val="18"/>
                <w:szCs w:val="18"/>
              </w:rPr>
              <w:t>Ex. 11</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A7251D5" w14:textId="77777777" w:rsidR="006E36CD" w:rsidRDefault="00000000">
            <w:r>
              <w:rPr>
                <w:sz w:val="18"/>
                <w:szCs w:val="18"/>
              </w:rPr>
              <w:t>The Lawyers’ Witness Disclosures and Amended Checklist for Conflicts (AAA No. 01-22-0000-9524), filed July 11, 2023 by counsel for Borunda, Abaza, and Trevino, naming Michael J. Collins and Deborah Jordan as witnesses and identifying Collins as counsel for Robin Allison</w:t>
            </w:r>
          </w:p>
        </w:tc>
      </w:tr>
      <w:tr w:rsidR="006E36CD" w14:paraId="2A037163"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8BDB928" w14:textId="77777777" w:rsidR="006E36CD" w:rsidRDefault="00000000">
            <w:r>
              <w:rPr>
                <w:sz w:val="18"/>
                <w:szCs w:val="18"/>
              </w:rPr>
              <w:t>Ex. 14</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1753F20" w14:textId="77777777" w:rsidR="006E36CD" w:rsidRDefault="00000000">
            <w:r>
              <w:rPr>
                <w:sz w:val="18"/>
                <w:szCs w:val="18"/>
              </w:rPr>
              <w:t>The Lawyers’ Answering Statement to Richard Allison’s Statement of Claims (AAA No. 01-22-0000-9524), filed December 9, 2022, with attached Exhibit F — a Collin County Probate Court order approved as to form by Michael J. Collins in his capacity as “Counsel for Robin Allison” — the earliest written filing in the case record identified to date that names Collins and his role</w:t>
            </w:r>
          </w:p>
        </w:tc>
      </w:tr>
      <w:tr w:rsidR="006D0B30" w14:paraId="00200001"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200002" w14:textId="77777777" w:rsidR="006D0B30" w:rsidRDefault="00000000">
            <w:r>
              <w:rPr>
                <w:sz w:val="18"/>
                <w:szCs w:val="18"/>
              </w:rPr>
              <w:t>Ex. 12(a)</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200003" w14:textId="77777777" w:rsidR="006D0B30" w:rsidRDefault="00000000">
            <w:r>
              <w:rPr>
                <w:sz w:val="18"/>
                <w:szCs w:val="18"/>
              </w:rPr>
              <w:t>Mark Logsdon's sworn, notarized State Commission on Judicial Conduct complaint against Anne Ashby (Ret.) (AAA No. 01-24-0002-4821) — the Complaint Details document and Exhibit Index Pack, executed August 4, 2026</w:t>
            </w:r>
          </w:p>
        </w:tc>
      </w:tr>
      <w:tr w:rsidR="006D0B30" w14:paraId="00200004"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200005" w14:textId="77777777" w:rsidR="006D0B30" w:rsidRDefault="00000000">
            <w:r>
              <w:rPr>
                <w:sz w:val="18"/>
                <w:szCs w:val="18"/>
              </w:rPr>
              <w:t>Ex. 12(b)</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200006" w14:textId="77777777" w:rsidR="006D0B30" w:rsidRDefault="00000000">
            <w:r>
              <w:rPr>
                <w:sz w:val="18"/>
                <w:szCs w:val="18"/>
              </w:rPr>
              <w:t>Mark Logsdon's Consolidated Complaint — the Comprehensive Whistleblower Memorandum attached to and filed with Ex. 12(a), setting out the whistleblower-retaliation allegations (Count 4, Section VI) in full</w:t>
            </w:r>
          </w:p>
        </w:tc>
      </w:tr>
      <w:tr w:rsidR="006E36CD" w14:paraId="49E7E7C2"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1FB7B33" w14:textId="77777777" w:rsidR="006E36CD" w:rsidRDefault="00000000">
            <w:r>
              <w:rPr>
                <w:sz w:val="18"/>
                <w:szCs w:val="18"/>
              </w:rPr>
              <w:t>Ex. 13</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7B22FFE" w14:textId="77777777" w:rsidR="006E36CD" w:rsidRDefault="00000000">
            <w:r>
              <w:rPr>
                <w:sz w:val="18"/>
                <w:szCs w:val="18"/>
              </w:rPr>
              <w:t>Consolidated pattern analysis of publicly available AAA decisions and confirmed award/judgment records administered by Anne Ashby (Ret.), including disclosure-timing, compensation, and reasoning-quality comparisons referenced in Section VII</w:t>
            </w:r>
          </w:p>
        </w:tc>
      </w:tr>
      <w:tr w:rsidR="006E36CD" w14:paraId="54658B61"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0B2D810" w14:textId="77777777" w:rsidR="006E36CD" w:rsidRDefault="00000000">
            <w:r>
              <w:rPr>
                <w:sz w:val="18"/>
                <w:szCs w:val="18"/>
              </w:rPr>
              <w:t>Ex. 15</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817CECE" w14:textId="77777777" w:rsidR="006E36CD" w:rsidRDefault="00000000">
            <w:r>
              <w:rPr>
                <w:sz w:val="18"/>
                <w:szCs w:val="18"/>
              </w:rPr>
              <w:t>Consumer alert, “New Alleged Victims Come Forward in Ongoing Claims Against Texas Probate Lawyers” (May 26, 2026), and the accompanying “Damn Lawyers: Probate Plot” episode, describing the accounts of Gail Echols (Echols v. Abaza) and Valeriya Ruzynska regarding Borunda, Abaza, and Trevino</w:t>
            </w:r>
          </w:p>
        </w:tc>
      </w:tr>
      <w:tr w:rsidR="006E36CD" w14:paraId="7719640E"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56A0DA35" w14:textId="77777777" w:rsidR="006E36CD" w:rsidRDefault="00000000">
            <w:r>
              <w:rPr>
                <w:sz w:val="18"/>
                <w:szCs w:val="18"/>
              </w:rPr>
              <w:t>Ex. 16</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3E01884" w14:textId="77777777" w:rsidR="006E36CD" w:rsidRDefault="00000000">
            <w:r>
              <w:rPr>
                <w:sz w:val="18"/>
                <w:szCs w:val="18"/>
              </w:rPr>
              <w:t>Consumer alert, “Texas Families Demand Legislative Reforms to Prevent Others from Falling Prey to the Arbitration Trap” (June 16, 2026), describing additional accounts of Philip Floyd, Eric Colton, and Mark Logsdon regarding Ashby’s disclosure practices</w:t>
            </w:r>
          </w:p>
        </w:tc>
      </w:tr>
      <w:tr w:rsidR="006E36CD" w14:paraId="41FD6037"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42060B4" w14:textId="77777777" w:rsidR="006E36CD" w:rsidRDefault="00000000">
            <w:r>
              <w:rPr>
                <w:sz w:val="18"/>
                <w:szCs w:val="18"/>
              </w:rPr>
              <w:t>Ex. 17</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92A975C" w14:textId="77777777" w:rsidR="006E36CD" w:rsidRDefault="00000000">
            <w:r>
              <w:rPr>
                <w:sz w:val="18"/>
                <w:szCs w:val="18"/>
              </w:rPr>
              <w:t>Petition for Review, In re Allison, No. 26-0428 (Tex., filed Aug. 3, 2026), including the Final Award’s statement of Ashby’s $133,318.81 personal compensation and $56,225.00 AAA administrative fees, and argument that the arbitrator exceeded her powers under Tex. Civ. Prac. &amp; Rem. Code §171.088(a), Tex. Prop. Code §112.035(a)–(b), and controlling Texas and federal arbitration case law</w:t>
            </w:r>
          </w:p>
        </w:tc>
      </w:tr>
      <w:tr w:rsidR="006D0B30" w14:paraId="00100001"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100002" w14:textId="77777777" w:rsidR="006D0B30" w:rsidRDefault="00000000">
            <w:r>
              <w:rPr>
                <w:sz w:val="18"/>
                <w:szCs w:val="18"/>
              </w:rPr>
              <w:t>Ex. 18</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100003" w14:textId="77777777" w:rsidR="006D0B30" w:rsidRDefault="00000000">
            <w:r>
              <w:rPr>
                <w:sz w:val="18"/>
                <w:szCs w:val="18"/>
              </w:rPr>
              <w:t>Consumer alert, “Consumer Alert: Growing Calls for Arbitration Reform — Every Day Texans Forfeit Their Rights” (GlobeNewswire, May 6, 2026) — https://www.globenewswire.com/news-release/2026/05/06/3289311/0/en/consumer-alert-growing-calls-for-arbitration-reform-every-day-texans-forfeit-their-rights.html</w:t>
            </w:r>
          </w:p>
        </w:tc>
      </w:tr>
      <w:tr w:rsidR="006D0B30" w14:paraId="00100004"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100005" w14:textId="77777777" w:rsidR="006D0B30" w:rsidRDefault="00000000">
            <w:r>
              <w:rPr>
                <w:sz w:val="18"/>
                <w:szCs w:val="18"/>
              </w:rPr>
              <w:t>Ex. 19</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100006" w14:textId="77777777" w:rsidR="006D0B30" w:rsidRDefault="00000000">
            <w:r>
              <w:rPr>
                <w:sz w:val="18"/>
                <w:szCs w:val="18"/>
              </w:rPr>
              <w:t>Consumer alert, “Consumer Alert: New FTC Complaints Allege Houston Probate Attorneys Jorge Borunda, Nicholas Abaza, and Michael Trevino Create Fake Online Reviews to Boost Ratings” (GlobeNewswire, Aug. 14, 2026) — https://www.globenewswire.com/news-release/2026/08/14/3345374/0/en/consumer-alert-new-ftc-complaints-allege-houston-probate-attorneys-jorge-borunda-nicholas-abaza-and-michael-trevino-create-fake-online-reviews-to-boost-ratings.html</w:t>
            </w:r>
          </w:p>
        </w:tc>
      </w:tr>
      <w:tr w:rsidR="006D0B30" w14:paraId="00100007"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100008" w14:textId="77777777" w:rsidR="006D0B30" w:rsidRDefault="00000000">
            <w:r>
              <w:rPr>
                <w:sz w:val="18"/>
                <w:szCs w:val="18"/>
              </w:rPr>
              <w:t>Ex. 20</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100009" w14:textId="77777777" w:rsidR="006D0B30" w:rsidRDefault="00000000">
            <w:r>
              <w:rPr>
                <w:sz w:val="18"/>
                <w:szCs w:val="18"/>
              </w:rPr>
              <w:t>Press coverage of amicus curiae brief regarding the Petition for Review in Allison v. Borunda, P.C., cross-published at: The Fiduciary Litigator (fiduciarylitigator.com), National Law Review (natlawreview.com), and JD Supra (jdsupra.com/legalnews/brief-of-amicus-curiae-regarding-8873988)</w:t>
            </w:r>
          </w:p>
        </w:tc>
      </w:tr>
      <w:tr w:rsidR="006D0B30" w14:paraId="00300001"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300002" w14:textId="77777777" w:rsidR="006D0B30" w:rsidRDefault="00000000">
            <w:r>
              <w:rPr>
                <w:sz w:val="18"/>
                <w:szCs w:val="18"/>
              </w:rPr>
              <w:t>Ex. 21</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300003" w14:textId="77777777" w:rsidR="006D0B30" w:rsidRDefault="00000000">
            <w:r>
              <w:rPr>
                <w:sz w:val="18"/>
                <w:szCs w:val="18"/>
              </w:rPr>
              <w:t>The Complainant’s State Bar of Texas grievance against Anne Ashby (Bar No. 15402600), filed April 7, 2026, setting out the disciplinary-rule violations summarized in Section XII</w:t>
            </w:r>
          </w:p>
        </w:tc>
      </w:tr>
      <w:tr w:rsidR="006D0B30" w14:paraId="00300004"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300005" w14:textId="77777777" w:rsidR="006D0B30" w:rsidRDefault="00000000">
            <w:r>
              <w:rPr>
                <w:sz w:val="18"/>
                <w:szCs w:val="18"/>
              </w:rPr>
              <w:t>Ex. 22</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300006" w14:textId="77777777" w:rsidR="006D0B30" w:rsidRDefault="00000000">
            <w:r>
              <w:rPr>
                <w:sz w:val="18"/>
                <w:szCs w:val="18"/>
              </w:rPr>
              <w:t>Letter from the State Bar of Texas, Office of the Chief Disciplinary Counsel (John S. Brannon, Assistant Disciplinary Counsel), dated May 13, 2026, Case No. 202602916 (“Richard Allison – Anne Ashby”), confirming the grievance was classified under Rule 2.10 of the Texas Rules of Disciplinary Procedure as alleging Professional Misconduct or a Disability, satisfies Rule 1.06G, and is proceeding to investigation</w:t>
            </w:r>
          </w:p>
        </w:tc>
      </w:tr>
      <w:tr w:rsidR="006D0B30" w14:paraId="00400001"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400002" w14:textId="77777777" w:rsidR="006D0B30" w:rsidRDefault="00000000">
            <w:r>
              <w:rPr>
                <w:sz w:val="18"/>
                <w:szCs w:val="18"/>
              </w:rPr>
              <w:lastRenderedPageBreak/>
              <w:t>Ex. 23</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400003" w14:textId="77777777" w:rsidR="006D0B30" w:rsidRDefault="00000000">
            <w:r>
              <w:rPr>
                <w:sz w:val="18"/>
                <w:szCs w:val="18"/>
              </w:rPr>
              <w:t>Criminal Exposure Analysis (prepared for StopLegalBullying.com, June 2026), analyzing potential state and federal criminal exposure — including perjury, honest services fraud, wire fraud, bankruptcy fraud, and RICO — arising from the conduct alleged in this complaint</w:t>
            </w:r>
          </w:p>
        </w:tc>
      </w:tr>
      <w:tr w:rsidR="006D0B30" w14:paraId="00500001"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500002" w14:textId="77777777" w:rsidR="006D0B30" w:rsidRDefault="00000000">
            <w:r>
              <w:rPr>
                <w:sz w:val="18"/>
                <w:szCs w:val="18"/>
              </w:rPr>
              <w:t>Ex. 24(a)–(h)</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0500003" w14:textId="77777777" w:rsidR="006D0B30" w:rsidRDefault="00000000">
            <w:r>
              <w:rPr>
                <w:sz w:val="18"/>
                <w:szCs w:val="18"/>
              </w:rPr>
              <w:t>Chapter 7 bankruptcy case file, In re Michael Duren and Anne Duren, U.S. Bankruptcy Court, Eastern District of Texas (Beaumont Division), Case No. 09-10216, comprising: (a) Schedule (as filed), filed May 14, 2009 — title unverified beyond the case caption page; confirm exact schedule before reliance; (b) Trustee's Motion to Compel Turnover of Property of the Bankruptcy Estate (bank statements, oil and gas leases, and funds on deposit), filed Aug. 20, 2009, and supporting order; (c) Trustee's Withdrawal of Motion to Compel Turnover, filed Oct. 2, 2009; (d) Amended Schedule F — Creditors Holding Unsecured Nonpriority Claims (total scheduled unsecured debt $311,084.39), filed Feb. 17, 2010; (e) Trustee's Motion for Authority to Sell Minerals, Royalties and/or Oil and Gas Interests (Panola County, Texas) and supporting order approving sale to M IV OPS., Inc. for $4,424.00, filed Apr. 8, 2010; (f) Objection to Motion to Sell Oil Interests, filed Apr. 30, 2010; (g) Trustee's Final Report (including payments to creditors), filed Feb. 9, 2011; (h) Discharge of Trustee, filed Jul. 14, 2011</w:t>
            </w:r>
          </w:p>
        </w:tc>
      </w:tr>
      <w:tr w:rsidR="006E36CD" w14:paraId="3574699A" w14:textId="77777777">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060F5DF" w14:textId="77777777" w:rsidR="006E36CD" w:rsidRDefault="00000000">
            <w:r>
              <w:rPr>
                <w:sz w:val="18"/>
                <w:szCs w:val="18"/>
              </w:rPr>
              <w:t>Graphs A–I</w:t>
            </w:r>
          </w:p>
        </w:tc>
        <w:tc>
          <w:tcPr>
            <w:tcW w:w="7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2C54854" w14:textId="77777777" w:rsidR="006E36CD" w:rsidRDefault="00000000">
            <w:r>
              <w:rPr>
                <w:sz w:val="18"/>
                <w:szCs w:val="18"/>
              </w:rPr>
              <w:t>Disclosure-and-partiality analysis: (A) oath vs. facts; (B) financial dependency timeline; (C) network of influence; (D) financial outcomes; (E) conflict timeline; (F) network map; (G) Collins relationship spotlight; (H) issues vs. award disconnect; (I) Lawyers' ask vs. award comparison</w:t>
            </w:r>
          </w:p>
        </w:tc>
      </w:tr>
    </w:tbl>
    <w:p w14:paraId="4E03FD6E" w14:textId="77777777" w:rsidR="006E36CD" w:rsidRDefault="00000000">
      <w:pPr>
        <w:pStyle w:val="Heading1"/>
        <w:spacing w:before="320" w:after="160"/>
      </w:pPr>
      <w:r>
        <w:rPr>
          <w:b/>
          <w:bCs/>
          <w:caps/>
          <w:color w:val="1B2A4A"/>
          <w:sz w:val="24"/>
          <w:szCs w:val="24"/>
        </w:rPr>
        <w:t>XI. Request for Investigation</w:t>
      </w:r>
    </w:p>
    <w:p w14:paraId="0A1E3F8E" w14:textId="77777777" w:rsidR="006E36CD" w:rsidRDefault="00000000">
      <w:pPr>
        <w:pStyle w:val="ListParagraph"/>
        <w:numPr>
          <w:ilvl w:val="0"/>
          <w:numId w:val="3"/>
        </w:numPr>
        <w:spacing w:after="140" w:line="276" w:lineRule="auto"/>
      </w:pPr>
      <w:r>
        <w:t>Open a formal investigation into Anne Ashby's disclosures and conduct in AAA Arbitration No. 01-22-0000-9524;</w:t>
      </w:r>
    </w:p>
    <w:p w14:paraId="4578CEDA" w14:textId="77777777" w:rsidR="006E36CD" w:rsidRDefault="00000000">
      <w:pPr>
        <w:pStyle w:val="ListParagraph"/>
        <w:numPr>
          <w:ilvl w:val="0"/>
          <w:numId w:val="3"/>
        </w:numPr>
        <w:spacing w:after="140" w:line="276" w:lineRule="auto"/>
      </w:pPr>
      <w:r>
        <w:t>Obtain Ashby's complete AAA oath, disclosure, conflict-check, and appointment records;</w:t>
      </w:r>
    </w:p>
    <w:p w14:paraId="46A457BD" w14:textId="77777777" w:rsidR="006E36CD" w:rsidRDefault="00000000">
      <w:pPr>
        <w:pStyle w:val="ListParagraph"/>
        <w:numPr>
          <w:ilvl w:val="0"/>
          <w:numId w:val="3"/>
        </w:numPr>
        <w:spacing w:after="140" w:line="276" w:lineRule="auto"/>
      </w:pPr>
      <w:r>
        <w:t>Investigate the nature, duration, and financial significance of her relationships with Michael Collins, Keith Staubus, and Steven L. Besly, and the circumstances of her 2009 bankruptcy filing;</w:t>
      </w:r>
    </w:p>
    <w:p w14:paraId="29C6BFA2" w14:textId="77777777" w:rsidR="006E36CD" w:rsidRDefault="00000000">
      <w:pPr>
        <w:pStyle w:val="ListParagraph"/>
        <w:numPr>
          <w:ilvl w:val="0"/>
          <w:numId w:val="3"/>
        </w:numPr>
        <w:spacing w:after="140" w:line="276" w:lineRule="auto"/>
      </w:pPr>
      <w:r>
        <w:t>Determine whether her sworn disclosures were accurate, complete, and timely, and whether later supplemental disclosures cured or instead confirmed earlier material omissions;</w:t>
      </w:r>
    </w:p>
    <w:p w14:paraId="48B278C0" w14:textId="77777777" w:rsidR="006E36CD" w:rsidRDefault="00000000">
      <w:pPr>
        <w:pStyle w:val="ListParagraph"/>
        <w:numPr>
          <w:ilvl w:val="0"/>
          <w:numId w:val="3"/>
        </w:numPr>
        <w:spacing w:after="140" w:line="276" w:lineRule="auto"/>
      </w:pPr>
      <w:r>
        <w:t>Examine the conduct of the arbitration — including the evidentiary rulings and non-party orders described above — as it bears on impartiality;</w:t>
      </w:r>
    </w:p>
    <w:p w14:paraId="01CF41DC" w14:textId="77777777" w:rsidR="006E36CD" w:rsidRDefault="00000000">
      <w:pPr>
        <w:pStyle w:val="ListParagraph"/>
        <w:numPr>
          <w:ilvl w:val="0"/>
          <w:numId w:val="3"/>
        </w:numPr>
        <w:spacing w:after="140" w:line="276" w:lineRule="auto"/>
      </w:pPr>
      <w:r>
        <w:t>Maintain the Allison and Logsdon complaints as separate matters and separate evidentiary records, while comparing the disclosure practices alleged in each to assess whether they reveal a recurring pattern;</w:t>
      </w:r>
    </w:p>
    <w:p w14:paraId="071E3BD0" w14:textId="77777777" w:rsidR="006E36CD" w:rsidRDefault="00000000">
      <w:pPr>
        <w:pStyle w:val="ListParagraph"/>
        <w:numPr>
          <w:ilvl w:val="0"/>
          <w:numId w:val="3"/>
        </w:numPr>
        <w:spacing w:after="140" w:line="276" w:lineRule="auto"/>
      </w:pPr>
      <w:r>
        <w:t>Consider whether the broader compensation and reasoning-quality disparities identified in Section VII warrant a Commission-initiated inquiry into Ashby's arbitration disclosure practices generally, independent of any single complainant's matter; and</w:t>
      </w:r>
    </w:p>
    <w:p w14:paraId="2DE95875" w14:textId="77777777" w:rsidR="006E36CD" w:rsidRDefault="00000000">
      <w:pPr>
        <w:pStyle w:val="ListParagraph"/>
        <w:numPr>
          <w:ilvl w:val="0"/>
          <w:numId w:val="3"/>
        </w:numPr>
        <w:spacing w:after="140" w:line="276" w:lineRule="auto"/>
      </w:pPr>
      <w:r>
        <w:t>Take any disciplinary or other action the Commission determines appropriate following investigation.</w:t>
      </w:r>
    </w:p>
    <w:p w14:paraId="6BF34C52" w14:textId="77777777" w:rsidR="006E36CD" w:rsidRDefault="00000000">
      <w:pPr>
        <w:pStyle w:val="Heading1"/>
        <w:spacing w:before="320" w:after="160"/>
      </w:pPr>
      <w:r>
        <w:rPr>
          <w:b/>
          <w:bCs/>
          <w:caps/>
          <w:color w:val="1B2A4A"/>
          <w:sz w:val="24"/>
          <w:szCs w:val="24"/>
        </w:rPr>
        <w:t>XII. Conclusion</w:t>
      </w:r>
    </w:p>
    <w:p w14:paraId="6FC3CFD9" w14:textId="77777777" w:rsidR="006E36CD" w:rsidRDefault="00000000">
      <w:pPr>
        <w:spacing w:after="160" w:line="276" w:lineRule="auto"/>
      </w:pPr>
      <w:r>
        <w:t>This complaint concerns something more fundamental than who prevailed in an arbitration. It concerns whether the person entrusted with extraordinary private adjudicatory power gave the parties the information necessary to decide whether she could fairly exercise that power. Anne Ashby signed a sworn oath of neutrality and disclosure. The Allison siblings subsequently discovered relationships, a financial-dependency history, and surrounding circumstances they contend were not revealed completely or in time to matter.</w:t>
      </w:r>
    </w:p>
    <w:p w14:paraId="4609A933" w14:textId="77777777" w:rsidR="006E36CD" w:rsidRDefault="00000000">
      <w:pPr>
        <w:spacing w:after="160" w:line="276" w:lineRule="auto"/>
      </w:pPr>
      <w:r>
        <w:t>A second, unrelated arbitration participant has now independently filed his own sworn, notarized complaint raising concerns about different relationships in a different case — but the same underlying issue: arbitrator disclosure and neutrality. And when the Allison and Logsdon matters are set alongside publicly available records from other Ashby arbitrations, a broader pattern of disclosure timing and reasoning-quality disparity emerges that, in the Complainant's respectful submission, warrants Commission attention beyond either individual complaint.</w:t>
      </w:r>
    </w:p>
    <w:p w14:paraId="7BACDC9F" w14:textId="77777777" w:rsidR="006E36CD" w:rsidRDefault="00000000">
      <w:pPr>
        <w:spacing w:after="160" w:line="276" w:lineRule="auto"/>
      </w:pPr>
      <w:r>
        <w:lastRenderedPageBreak/>
        <w:t>The stakes of that pattern are not abstract in this case. As set out in Count 6, above, Ashby's Final Award is now the subject of a pending Petition for Review before the Texas Supreme Court, which contends she exceeded the most basic limits of arbitral authority — binding non-parties, reaching a distinct entity's assets, and overriding a statutory spendthrift-trust protection that any Texas court would have been obligated to honor. Arbitration is not lawless, and neither is the arbitrator who presides over it. Whether or not the Supreme Court ultimately grants relief, the fact that this award has drawn that level of appellate scrutiny underscores why the undisclosed relationships described in this complaint were not a minor omission from a routine proceeding.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6E36CD" w14:paraId="77D4EA2F" w14:textId="77777777">
        <w:tc>
          <w:tcPr>
            <w:tcW w:w="9350" w:type="dxa"/>
            <w:tcBorders>
              <w:top w:val="single" w:sz="4" w:space="0" w:color="999999"/>
              <w:left w:val="single" w:sz="4" w:space="0" w:color="999999"/>
              <w:bottom w:val="single" w:sz="4" w:space="0" w:color="999999"/>
              <w:right w:val="single" w:sz="4" w:space="0" w:color="999999"/>
            </w:tcBorders>
            <w:shd w:val="clear" w:color="auto" w:fill="E8ECF3"/>
            <w:tcMar>
              <w:top w:w="140" w:type="dxa"/>
              <w:left w:w="160" w:type="dxa"/>
              <w:bottom w:w="140" w:type="dxa"/>
              <w:right w:w="160" w:type="dxa"/>
            </w:tcMar>
          </w:tcPr>
          <w:p w14:paraId="3198AA76" w14:textId="77777777" w:rsidR="006E36CD" w:rsidRDefault="006E36CD">
            <w:pPr>
              <w:spacing w:after="80"/>
            </w:pPr>
          </w:p>
          <w:p w14:paraId="48D03D85" w14:textId="77777777" w:rsidR="006E36CD" w:rsidRDefault="00000000">
            <w:r>
              <w:rPr>
                <w:sz w:val="18"/>
                <w:szCs w:val="18"/>
              </w:rPr>
              <w:t>These complaints should not be merged. They should be investigated independently. But the Commission should not overlook the significance of the same retired judge becoming the subject of separate, independently sworn complaints alleging similar disclosure failures in unrelated arbitration proceedings — set against a broader record that, on its face, raises the same concern.</w:t>
            </w:r>
          </w:p>
        </w:tc>
      </w:tr>
    </w:tbl>
    <w:p w14:paraId="3E29093B" w14:textId="77777777" w:rsidR="006E36CD" w:rsidRDefault="006E36CD">
      <w:pPr>
        <w:spacing w:after="160" w:line="276" w:lineRule="auto"/>
      </w:pPr>
    </w:p>
    <w:p w14:paraId="4753F586" w14:textId="77777777" w:rsidR="006E36CD" w:rsidRDefault="00000000">
      <w:pPr>
        <w:pStyle w:val="Heading1"/>
        <w:spacing w:before="320" w:after="160"/>
      </w:pPr>
      <w:r>
        <w:rPr>
          <w:b/>
          <w:bCs/>
          <w:caps/>
          <w:color w:val="1B2A4A"/>
          <w:sz w:val="24"/>
          <w:szCs w:val="24"/>
        </w:rPr>
        <w:t>Verification and Oath of Complainant</w:t>
      </w:r>
    </w:p>
    <w:p w14:paraId="7AFEEE64" w14:textId="77777777" w:rsidR="006E36CD" w:rsidRDefault="00000000">
      <w:pPr>
        <w:spacing w:after="160" w:line="276" w:lineRule="auto"/>
      </w:pPr>
      <w:r>
        <w:t>State of Texas</w:t>
      </w:r>
    </w:p>
    <w:p w14:paraId="210C74EE" w14:textId="77777777" w:rsidR="006E36CD" w:rsidRDefault="00000000">
      <w:pPr>
        <w:spacing w:after="160" w:line="276" w:lineRule="auto"/>
      </w:pPr>
      <w:r>
        <w:t>County of Harris</w:t>
      </w:r>
    </w:p>
    <w:p w14:paraId="75EE9903" w14:textId="77777777" w:rsidR="006E36CD" w:rsidRDefault="00000000">
      <w:pPr>
        <w:spacing w:after="160" w:line="276" w:lineRule="auto"/>
      </w:pPr>
      <w:r>
        <w:t>Before me, the undersigned notary public, on this day personally appeared Caroline Allison, known to me to be the person whose name is subscribed to this instrument, who being by me first duly sworn, upon her oath deposes and says: “I am the Complainant in this matter. I have read the foregoing State Commission on Judicial Conduct Complaint and every statement of fact and allegation contained therein is true and correct to the best of my personal knowledge, information, and belief. I declare under penalty of perjury under the laws of the State of Texas that the contents of this submission are true and correct.”</w:t>
      </w:r>
    </w:p>
    <w:p w14:paraId="5D70FE07" w14:textId="77777777" w:rsidR="006E36CD" w:rsidRDefault="00000000">
      <w:pPr>
        <w:spacing w:after="160" w:line="276" w:lineRule="auto"/>
      </w:pPr>
      <w:r>
        <w:t>Respectfully submitted,</w:t>
      </w:r>
    </w:p>
    <w:p w14:paraId="52CE28A2" w14:textId="77777777" w:rsidR="006E36CD" w:rsidRDefault="006E36CD">
      <w:pPr>
        <w:spacing w:after="160" w:line="276" w:lineRule="auto"/>
      </w:pPr>
    </w:p>
    <w:p w14:paraId="49F9C3BD" w14:textId="77777777" w:rsidR="006E36CD" w:rsidRDefault="00000000">
      <w:pPr>
        <w:spacing w:after="160" w:line="276" w:lineRule="auto"/>
      </w:pPr>
      <w:r>
        <w:rPr>
          <w:b/>
          <w:bCs/>
        </w:rPr>
        <w:t>CAROLINE ALLISON</w:t>
      </w:r>
    </w:p>
    <w:p w14:paraId="0DD7114A" w14:textId="77777777" w:rsidR="006E36CD" w:rsidRDefault="00000000">
      <w:pPr>
        <w:spacing w:after="160" w:line="276" w:lineRule="auto"/>
      </w:pPr>
      <w:r>
        <w:t>Complainant</w:t>
      </w:r>
    </w:p>
    <w:p w14:paraId="0EBEFF61" w14:textId="77777777" w:rsidR="006E36CD" w:rsidRDefault="00000000">
      <w:pPr>
        <w:spacing w:after="160" w:line="276" w:lineRule="auto"/>
      </w:pPr>
      <w:r>
        <w:t>Signature: ____________________________________</w:t>
      </w:r>
    </w:p>
    <w:p w14:paraId="5057E841" w14:textId="77777777" w:rsidR="006E36CD" w:rsidRDefault="00000000">
      <w:pPr>
        <w:spacing w:after="160" w:line="276" w:lineRule="auto"/>
      </w:pPr>
      <w:r>
        <w:t>Date: ____________________________________</w:t>
      </w:r>
    </w:p>
    <w:sectPr w:rsidR="006E36CD">
      <w:footerReference w:type="even"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073E2" w14:textId="77777777" w:rsidR="00A32959" w:rsidRDefault="00A32959" w:rsidP="00F11B4B">
      <w:r>
        <w:separator/>
      </w:r>
    </w:p>
  </w:endnote>
  <w:endnote w:type="continuationSeparator" w:id="0">
    <w:p w14:paraId="3CAC0F89" w14:textId="77777777" w:rsidR="00A32959" w:rsidRDefault="00A32959" w:rsidP="00F11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7175621"/>
      <w:docPartObj>
        <w:docPartGallery w:val="Page Numbers (Bottom of Page)"/>
        <w:docPartUnique/>
      </w:docPartObj>
    </w:sdtPr>
    <w:sdtContent>
      <w:p w14:paraId="6AB915E0" w14:textId="7BC89314" w:rsidR="00F11B4B" w:rsidRDefault="00F11B4B" w:rsidP="00DB5AF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8EA0BC" w14:textId="77777777" w:rsidR="00F11B4B" w:rsidRDefault="00F11B4B" w:rsidP="00F11B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1012342"/>
      <w:docPartObj>
        <w:docPartGallery w:val="Page Numbers (Bottom of Page)"/>
        <w:docPartUnique/>
      </w:docPartObj>
    </w:sdtPr>
    <w:sdtContent>
      <w:p w14:paraId="4D67D72A" w14:textId="787AFC60" w:rsidR="00F11B4B" w:rsidRDefault="00F11B4B" w:rsidP="00DB5AF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54C2BA09" w14:textId="77777777" w:rsidR="00F11B4B" w:rsidRDefault="00F11B4B" w:rsidP="00F11B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B218B" w14:textId="77777777" w:rsidR="00A32959" w:rsidRDefault="00A32959" w:rsidP="00F11B4B">
      <w:r>
        <w:separator/>
      </w:r>
    </w:p>
  </w:footnote>
  <w:footnote w:type="continuationSeparator" w:id="0">
    <w:p w14:paraId="4D2A7BEF" w14:textId="77777777" w:rsidR="00A32959" w:rsidRDefault="00A32959" w:rsidP="00F11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C19EA"/>
    <w:multiLevelType w:val="hybridMultilevel"/>
    <w:tmpl w:val="D312FDBC"/>
    <w:lvl w:ilvl="0" w:tplc="AB1E0C48">
      <w:start w:val="1"/>
      <w:numFmt w:val="bullet"/>
      <w:lvlText w:val="●"/>
      <w:lvlJc w:val="left"/>
      <w:pPr>
        <w:ind w:left="720" w:hanging="360"/>
      </w:pPr>
    </w:lvl>
    <w:lvl w:ilvl="1" w:tplc="622CC108">
      <w:start w:val="1"/>
      <w:numFmt w:val="bullet"/>
      <w:lvlText w:val="○"/>
      <w:lvlJc w:val="left"/>
      <w:pPr>
        <w:ind w:left="1440" w:hanging="360"/>
      </w:pPr>
    </w:lvl>
    <w:lvl w:ilvl="2" w:tplc="F20E9734">
      <w:start w:val="1"/>
      <w:numFmt w:val="bullet"/>
      <w:lvlText w:val="■"/>
      <w:lvlJc w:val="left"/>
      <w:pPr>
        <w:ind w:left="2160" w:hanging="360"/>
      </w:pPr>
    </w:lvl>
    <w:lvl w:ilvl="3" w:tplc="30F8E90A">
      <w:start w:val="1"/>
      <w:numFmt w:val="bullet"/>
      <w:lvlText w:val="●"/>
      <w:lvlJc w:val="left"/>
      <w:pPr>
        <w:ind w:left="2880" w:hanging="360"/>
      </w:pPr>
    </w:lvl>
    <w:lvl w:ilvl="4" w:tplc="B32C3B5E">
      <w:start w:val="1"/>
      <w:numFmt w:val="bullet"/>
      <w:lvlText w:val="○"/>
      <w:lvlJc w:val="left"/>
      <w:pPr>
        <w:ind w:left="3600" w:hanging="360"/>
      </w:pPr>
    </w:lvl>
    <w:lvl w:ilvl="5" w:tplc="E514AE90">
      <w:start w:val="1"/>
      <w:numFmt w:val="bullet"/>
      <w:lvlText w:val="■"/>
      <w:lvlJc w:val="left"/>
      <w:pPr>
        <w:ind w:left="4320" w:hanging="360"/>
      </w:pPr>
    </w:lvl>
    <w:lvl w:ilvl="6" w:tplc="7DD4939C">
      <w:start w:val="1"/>
      <w:numFmt w:val="bullet"/>
      <w:lvlText w:val="●"/>
      <w:lvlJc w:val="left"/>
      <w:pPr>
        <w:ind w:left="5040" w:hanging="360"/>
      </w:pPr>
    </w:lvl>
    <w:lvl w:ilvl="7" w:tplc="688899DC">
      <w:start w:val="1"/>
      <w:numFmt w:val="bullet"/>
      <w:lvlText w:val="●"/>
      <w:lvlJc w:val="left"/>
      <w:pPr>
        <w:ind w:left="5760" w:hanging="360"/>
      </w:pPr>
    </w:lvl>
    <w:lvl w:ilvl="8" w:tplc="3BC8EF3E">
      <w:start w:val="1"/>
      <w:numFmt w:val="bullet"/>
      <w:lvlText w:val="●"/>
      <w:lvlJc w:val="left"/>
      <w:pPr>
        <w:ind w:left="6480" w:hanging="360"/>
      </w:pPr>
    </w:lvl>
  </w:abstractNum>
  <w:abstractNum w:abstractNumId="1" w15:restartNumberingAfterBreak="0">
    <w:nsid w:val="2A3B5CEF"/>
    <w:multiLevelType w:val="hybridMultilevel"/>
    <w:tmpl w:val="0214F572"/>
    <w:lvl w:ilvl="0" w:tplc="C4600D96">
      <w:start w:val="1"/>
      <w:numFmt w:val="decimal"/>
      <w:lvlText w:val="%1."/>
      <w:lvlJc w:val="left"/>
      <w:pPr>
        <w:ind w:left="450" w:hanging="260"/>
      </w:pPr>
    </w:lvl>
    <w:lvl w:ilvl="1" w:tplc="8528E668">
      <w:numFmt w:val="decimal"/>
      <w:lvlText w:val=""/>
      <w:lvlJc w:val="left"/>
    </w:lvl>
    <w:lvl w:ilvl="2" w:tplc="A68CCA76">
      <w:numFmt w:val="decimal"/>
      <w:lvlText w:val=""/>
      <w:lvlJc w:val="left"/>
    </w:lvl>
    <w:lvl w:ilvl="3" w:tplc="AE5450C8">
      <w:numFmt w:val="decimal"/>
      <w:lvlText w:val=""/>
      <w:lvlJc w:val="left"/>
    </w:lvl>
    <w:lvl w:ilvl="4" w:tplc="A35C97B0">
      <w:numFmt w:val="decimal"/>
      <w:lvlText w:val=""/>
      <w:lvlJc w:val="left"/>
    </w:lvl>
    <w:lvl w:ilvl="5" w:tplc="B6E038F2">
      <w:numFmt w:val="decimal"/>
      <w:lvlText w:val=""/>
      <w:lvlJc w:val="left"/>
    </w:lvl>
    <w:lvl w:ilvl="6" w:tplc="19FAE536">
      <w:numFmt w:val="decimal"/>
      <w:lvlText w:val=""/>
      <w:lvlJc w:val="left"/>
    </w:lvl>
    <w:lvl w:ilvl="7" w:tplc="E286EE9E">
      <w:numFmt w:val="decimal"/>
      <w:lvlText w:val=""/>
      <w:lvlJc w:val="left"/>
    </w:lvl>
    <w:lvl w:ilvl="8" w:tplc="BCFEE9CC">
      <w:numFmt w:val="decimal"/>
      <w:lvlText w:val=""/>
      <w:lvlJc w:val="left"/>
    </w:lvl>
  </w:abstractNum>
  <w:abstractNum w:abstractNumId="2" w15:restartNumberingAfterBreak="0">
    <w:nsid w:val="703E5922"/>
    <w:multiLevelType w:val="hybridMultilevel"/>
    <w:tmpl w:val="912235EA"/>
    <w:lvl w:ilvl="0" w:tplc="A2DA1C36">
      <w:start w:val="1"/>
      <w:numFmt w:val="decimal"/>
      <w:lvlText w:val="%1."/>
      <w:lvlJc w:val="left"/>
      <w:pPr>
        <w:ind w:left="450" w:hanging="260"/>
      </w:pPr>
    </w:lvl>
    <w:lvl w:ilvl="1" w:tplc="94A026E8">
      <w:numFmt w:val="decimal"/>
      <w:lvlText w:val=""/>
      <w:lvlJc w:val="left"/>
    </w:lvl>
    <w:lvl w:ilvl="2" w:tplc="0D0867F6">
      <w:numFmt w:val="decimal"/>
      <w:lvlText w:val=""/>
      <w:lvlJc w:val="left"/>
    </w:lvl>
    <w:lvl w:ilvl="3" w:tplc="DBEEC1E6">
      <w:numFmt w:val="decimal"/>
      <w:lvlText w:val=""/>
      <w:lvlJc w:val="left"/>
    </w:lvl>
    <w:lvl w:ilvl="4" w:tplc="11E60A44">
      <w:numFmt w:val="decimal"/>
      <w:lvlText w:val=""/>
      <w:lvlJc w:val="left"/>
    </w:lvl>
    <w:lvl w:ilvl="5" w:tplc="176CF588">
      <w:numFmt w:val="decimal"/>
      <w:lvlText w:val=""/>
      <w:lvlJc w:val="left"/>
    </w:lvl>
    <w:lvl w:ilvl="6" w:tplc="24D09E48">
      <w:numFmt w:val="decimal"/>
      <w:lvlText w:val=""/>
      <w:lvlJc w:val="left"/>
    </w:lvl>
    <w:lvl w:ilvl="7" w:tplc="B6C41B08">
      <w:numFmt w:val="decimal"/>
      <w:lvlText w:val=""/>
      <w:lvlJc w:val="left"/>
    </w:lvl>
    <w:lvl w:ilvl="8" w:tplc="601C6890">
      <w:numFmt w:val="decimal"/>
      <w:lvlText w:val=""/>
      <w:lvlJc w:val="left"/>
    </w:lvl>
  </w:abstractNum>
  <w:num w:numId="1" w16cid:durableId="1739550918">
    <w:abstractNumId w:val="0"/>
    <w:lvlOverride w:ilvl="0">
      <w:startOverride w:val="1"/>
    </w:lvlOverride>
  </w:num>
  <w:num w:numId="2" w16cid:durableId="1045986469">
    <w:abstractNumId w:val="2"/>
    <w:lvlOverride w:ilvl="0">
      <w:startOverride w:val="1"/>
    </w:lvlOverride>
  </w:num>
  <w:num w:numId="3" w16cid:durableId="194426002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6CD"/>
    <w:rsid w:val="001D776D"/>
    <w:rsid w:val="00346565"/>
    <w:rsid w:val="006D0B30"/>
    <w:rsid w:val="006E36CD"/>
    <w:rsid w:val="00A32959"/>
    <w:rsid w:val="00B46795"/>
    <w:rsid w:val="00B948F4"/>
    <w:rsid w:val="00C41B7F"/>
    <w:rsid w:val="00CE69F5"/>
    <w:rsid w:val="00DB5AFE"/>
    <w:rsid w:val="00E01DF9"/>
    <w:rsid w:val="00F11B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1147C2B"/>
  <w15:docId w15:val="{FA2F82E1-F468-9B42-867E-A7424D71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F11B4B"/>
    <w:pPr>
      <w:tabs>
        <w:tab w:val="center" w:pos="4680"/>
        <w:tab w:val="right" w:pos="9360"/>
      </w:tabs>
    </w:pPr>
  </w:style>
  <w:style w:type="character" w:customStyle="1" w:styleId="FooterChar">
    <w:name w:val="Footer Char"/>
    <w:basedOn w:val="DefaultParagraphFont"/>
    <w:link w:val="Footer"/>
    <w:uiPriority w:val="99"/>
    <w:rsid w:val="00F11B4B"/>
  </w:style>
  <w:style w:type="character" w:styleId="PageNumber">
    <w:name w:val="page number"/>
    <w:basedOn w:val="DefaultParagraphFont"/>
    <w:uiPriority w:val="99"/>
    <w:semiHidden/>
    <w:unhideWhenUsed/>
    <w:rsid w:val="00F11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8996</Words>
  <Characters>53350</Characters>
  <Application>Microsoft Office Word</Application>
  <DocSecurity>0</DocSecurity>
  <Lines>889</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 BB7</cp:lastModifiedBy>
  <cp:revision>3</cp:revision>
  <dcterms:created xsi:type="dcterms:W3CDTF">2026-08-26T16:20:00Z</dcterms:created>
  <dcterms:modified xsi:type="dcterms:W3CDTF">2026-08-26T16:25:00Z</dcterms:modified>
</cp:coreProperties>
</file>