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AE3AD" w14:textId="78134E5F" w:rsidR="006D4A39" w:rsidRPr="00D23BFB" w:rsidRDefault="006D4A39" w:rsidP="006D4A39">
      <w:pPr>
        <w:jc w:val="center"/>
        <w:rPr>
          <w:rFonts w:ascii="Garamond" w:hAnsi="Garamond"/>
          <w:b/>
          <w:bCs/>
          <w:sz w:val="24"/>
          <w:szCs w:val="24"/>
        </w:rPr>
      </w:pPr>
      <w:bookmarkStart w:id="0" w:name="_Hlk103077562"/>
      <w:r w:rsidRPr="00D23BFB">
        <w:rPr>
          <w:rFonts w:ascii="Garamond" w:hAnsi="Garamond"/>
          <w:b/>
          <w:bCs/>
          <w:sz w:val="24"/>
          <w:szCs w:val="24"/>
        </w:rPr>
        <w:t xml:space="preserve">CAUSE NO. </w:t>
      </w:r>
      <w:r w:rsidR="00A636C1">
        <w:rPr>
          <w:rFonts w:ascii="Garamond" w:hAnsi="Garamond"/>
          <w:b/>
          <w:bCs/>
          <w:sz w:val="24"/>
          <w:szCs w:val="24"/>
        </w:rPr>
        <w:t>_________________</w:t>
      </w:r>
    </w:p>
    <w:p w14:paraId="7F5D070F" w14:textId="77777777" w:rsidR="006D4A39" w:rsidRPr="00D23BFB" w:rsidRDefault="006D4A39" w:rsidP="006D4A39">
      <w:pPr>
        <w:rPr>
          <w:rFonts w:ascii="Garamond" w:hAnsi="Garamond"/>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0"/>
        <w:gridCol w:w="445"/>
        <w:gridCol w:w="4315"/>
      </w:tblGrid>
      <w:tr w:rsidR="006D4A39" w:rsidRPr="00D23BFB" w14:paraId="1CC05414" w14:textId="77777777" w:rsidTr="008E1A91">
        <w:tc>
          <w:tcPr>
            <w:tcW w:w="4590" w:type="dxa"/>
          </w:tcPr>
          <w:p w14:paraId="2EE4D8E4" w14:textId="56EB0516" w:rsidR="006D4A39" w:rsidRPr="00D23BFB" w:rsidRDefault="006D4A39" w:rsidP="008E1A91">
            <w:pPr>
              <w:jc w:val="both"/>
              <w:rPr>
                <w:rFonts w:ascii="Garamond" w:hAnsi="Garamond"/>
                <w:b/>
                <w:bCs/>
                <w:sz w:val="24"/>
                <w:szCs w:val="24"/>
              </w:rPr>
            </w:pPr>
            <w:r w:rsidRPr="00D23BFB">
              <w:rPr>
                <w:rFonts w:ascii="Garamond" w:hAnsi="Garamond"/>
                <w:b/>
                <w:bCs/>
                <w:sz w:val="24"/>
                <w:szCs w:val="24"/>
              </w:rPr>
              <w:t>CAROLINE ALLISON</w:t>
            </w:r>
            <w:r w:rsidR="005A7CE1">
              <w:rPr>
                <w:rFonts w:ascii="Garamond" w:hAnsi="Garamond"/>
                <w:b/>
                <w:bCs/>
                <w:sz w:val="24"/>
                <w:szCs w:val="24"/>
              </w:rPr>
              <w:t xml:space="preserve"> AND RICHARD ALLISON</w:t>
            </w:r>
          </w:p>
          <w:p w14:paraId="1C6161D8" w14:textId="112EF14A" w:rsidR="006D4A39" w:rsidRPr="00D23BFB" w:rsidRDefault="006D4A39" w:rsidP="008E1A91">
            <w:pPr>
              <w:ind w:firstLine="338"/>
              <w:jc w:val="both"/>
              <w:rPr>
                <w:rFonts w:ascii="Garamond" w:hAnsi="Garamond"/>
                <w:b/>
                <w:bCs/>
                <w:sz w:val="24"/>
                <w:szCs w:val="24"/>
              </w:rPr>
            </w:pPr>
            <w:r w:rsidRPr="00D23BFB">
              <w:rPr>
                <w:rFonts w:ascii="Garamond" w:hAnsi="Garamond"/>
                <w:b/>
                <w:bCs/>
                <w:sz w:val="24"/>
                <w:szCs w:val="24"/>
              </w:rPr>
              <w:t>Plaintiff</w:t>
            </w:r>
            <w:r w:rsidR="005A7CE1">
              <w:rPr>
                <w:rFonts w:ascii="Garamond" w:hAnsi="Garamond"/>
                <w:b/>
                <w:bCs/>
                <w:sz w:val="24"/>
                <w:szCs w:val="24"/>
              </w:rPr>
              <w:t>s</w:t>
            </w:r>
          </w:p>
          <w:p w14:paraId="5EF36C17" w14:textId="77777777" w:rsidR="006D4A39" w:rsidRPr="00D23BFB" w:rsidRDefault="006D4A39" w:rsidP="008E1A91">
            <w:pPr>
              <w:jc w:val="both"/>
              <w:rPr>
                <w:rFonts w:ascii="Garamond" w:hAnsi="Garamond"/>
                <w:b/>
                <w:bCs/>
                <w:sz w:val="24"/>
                <w:szCs w:val="24"/>
              </w:rPr>
            </w:pPr>
          </w:p>
          <w:p w14:paraId="3B869947"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v.</w:t>
            </w:r>
          </w:p>
          <w:p w14:paraId="35B31A5A" w14:textId="77777777" w:rsidR="006D4A39" w:rsidRPr="00D23BFB" w:rsidRDefault="006D4A39" w:rsidP="008E1A91">
            <w:pPr>
              <w:jc w:val="both"/>
              <w:rPr>
                <w:rFonts w:ascii="Garamond" w:hAnsi="Garamond"/>
                <w:b/>
                <w:bCs/>
                <w:sz w:val="24"/>
                <w:szCs w:val="24"/>
              </w:rPr>
            </w:pPr>
          </w:p>
          <w:p w14:paraId="3306B534" w14:textId="77777777" w:rsidR="006D4A39" w:rsidRPr="00D23BFB" w:rsidRDefault="006D4A39" w:rsidP="008E1A91">
            <w:pPr>
              <w:rPr>
                <w:rFonts w:ascii="Garamond" w:hAnsi="Garamond"/>
                <w:b/>
                <w:bCs/>
                <w:sz w:val="24"/>
                <w:szCs w:val="24"/>
              </w:rPr>
            </w:pPr>
            <w:r w:rsidRPr="00D23BFB">
              <w:rPr>
                <w:rFonts w:ascii="Garamond" w:hAnsi="Garamond"/>
                <w:b/>
                <w:bCs/>
                <w:sz w:val="24"/>
                <w:szCs w:val="24"/>
              </w:rPr>
              <w:t>BORUNDA, P.C., JORGE BORUNDA, NICHOLAS ABAZA, LAW OFFICES OF NICHOLAS ABAZA, P.C., MICHAEL TREVINO, and LAW OFFICE OF MICHAEL A. TREVINO, PLLC</w:t>
            </w:r>
          </w:p>
          <w:p w14:paraId="02B10399" w14:textId="77777777" w:rsidR="006D4A39" w:rsidRPr="00D23BFB" w:rsidRDefault="006D4A39" w:rsidP="008E1A91">
            <w:pPr>
              <w:ind w:firstLine="338"/>
              <w:jc w:val="both"/>
              <w:rPr>
                <w:rFonts w:ascii="Garamond" w:hAnsi="Garamond"/>
                <w:b/>
                <w:bCs/>
                <w:sz w:val="24"/>
                <w:szCs w:val="24"/>
              </w:rPr>
            </w:pPr>
            <w:r w:rsidRPr="00D23BFB">
              <w:rPr>
                <w:rFonts w:ascii="Garamond" w:hAnsi="Garamond"/>
                <w:b/>
                <w:bCs/>
                <w:sz w:val="24"/>
                <w:szCs w:val="24"/>
              </w:rPr>
              <w:t>Defendants</w:t>
            </w:r>
          </w:p>
          <w:p w14:paraId="236262CF" w14:textId="33029683" w:rsidR="00214349" w:rsidRPr="00D23BFB" w:rsidRDefault="00214349" w:rsidP="005A7CE1">
            <w:pPr>
              <w:jc w:val="both"/>
              <w:rPr>
                <w:rFonts w:ascii="Garamond" w:hAnsi="Garamond"/>
                <w:b/>
                <w:bCs/>
                <w:sz w:val="24"/>
                <w:szCs w:val="24"/>
              </w:rPr>
            </w:pPr>
          </w:p>
        </w:tc>
        <w:tc>
          <w:tcPr>
            <w:tcW w:w="445" w:type="dxa"/>
          </w:tcPr>
          <w:p w14:paraId="10756DA7"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w:t>
            </w:r>
          </w:p>
          <w:p w14:paraId="03FC59F7"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w:t>
            </w:r>
          </w:p>
          <w:p w14:paraId="03141859"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w:t>
            </w:r>
          </w:p>
          <w:p w14:paraId="34F6C9FA"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w:t>
            </w:r>
          </w:p>
          <w:p w14:paraId="7AAF45C6"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w:t>
            </w:r>
          </w:p>
          <w:p w14:paraId="3114B87D"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w:t>
            </w:r>
          </w:p>
          <w:p w14:paraId="02F65B1F"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w:t>
            </w:r>
          </w:p>
          <w:p w14:paraId="40126138"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w:t>
            </w:r>
          </w:p>
          <w:p w14:paraId="1C287A97"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w:t>
            </w:r>
          </w:p>
          <w:p w14:paraId="57F3A3C8"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w:t>
            </w:r>
          </w:p>
          <w:p w14:paraId="38DF20F3"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w:t>
            </w:r>
          </w:p>
          <w:p w14:paraId="18E2036A" w14:textId="77777777" w:rsidR="006D4A39" w:rsidRPr="00D23BFB" w:rsidRDefault="006D4A39" w:rsidP="008E1A91">
            <w:pPr>
              <w:jc w:val="both"/>
              <w:rPr>
                <w:rFonts w:ascii="Garamond" w:hAnsi="Garamond"/>
                <w:b/>
                <w:bCs/>
                <w:sz w:val="24"/>
                <w:szCs w:val="24"/>
              </w:rPr>
            </w:pPr>
            <w:r w:rsidRPr="00D23BFB">
              <w:rPr>
                <w:rFonts w:ascii="Garamond" w:hAnsi="Garamond"/>
                <w:b/>
                <w:bCs/>
                <w:sz w:val="24"/>
                <w:szCs w:val="24"/>
              </w:rPr>
              <w:t>§</w:t>
            </w:r>
          </w:p>
          <w:p w14:paraId="62FFD654" w14:textId="166FD181" w:rsidR="004320E7" w:rsidRPr="00D23BFB" w:rsidRDefault="004320E7" w:rsidP="008E1A91">
            <w:pPr>
              <w:jc w:val="both"/>
              <w:rPr>
                <w:rFonts w:ascii="Garamond" w:hAnsi="Garamond"/>
                <w:b/>
                <w:bCs/>
                <w:sz w:val="24"/>
                <w:szCs w:val="24"/>
              </w:rPr>
            </w:pPr>
          </w:p>
        </w:tc>
        <w:tc>
          <w:tcPr>
            <w:tcW w:w="4315" w:type="dxa"/>
          </w:tcPr>
          <w:p w14:paraId="0BCE3C5F" w14:textId="77777777" w:rsidR="006D4A39" w:rsidRPr="00D23BFB" w:rsidRDefault="006D4A39" w:rsidP="008E1A91">
            <w:pPr>
              <w:jc w:val="right"/>
              <w:rPr>
                <w:rFonts w:ascii="Garamond" w:hAnsi="Garamond"/>
                <w:b/>
                <w:bCs/>
                <w:sz w:val="24"/>
                <w:szCs w:val="24"/>
              </w:rPr>
            </w:pPr>
            <w:r w:rsidRPr="00D23BFB">
              <w:rPr>
                <w:rFonts w:ascii="Garamond" w:hAnsi="Garamond"/>
                <w:b/>
                <w:bCs/>
                <w:sz w:val="24"/>
                <w:szCs w:val="24"/>
              </w:rPr>
              <w:t>IN THE DISTRICT COURT</w:t>
            </w:r>
          </w:p>
          <w:p w14:paraId="01EEB28D" w14:textId="77777777" w:rsidR="006D4A39" w:rsidRPr="00D23BFB" w:rsidRDefault="006D4A39" w:rsidP="008E1A91">
            <w:pPr>
              <w:jc w:val="right"/>
              <w:rPr>
                <w:rFonts w:ascii="Garamond" w:hAnsi="Garamond"/>
                <w:b/>
                <w:bCs/>
                <w:sz w:val="24"/>
                <w:szCs w:val="24"/>
              </w:rPr>
            </w:pPr>
          </w:p>
          <w:p w14:paraId="3D447AE1" w14:textId="77777777" w:rsidR="006D4A39" w:rsidRPr="00D23BFB" w:rsidRDefault="006D4A39" w:rsidP="008E1A91">
            <w:pPr>
              <w:jc w:val="right"/>
              <w:rPr>
                <w:rFonts w:ascii="Garamond" w:hAnsi="Garamond"/>
                <w:b/>
                <w:bCs/>
                <w:sz w:val="24"/>
                <w:szCs w:val="24"/>
              </w:rPr>
            </w:pPr>
          </w:p>
          <w:p w14:paraId="072AD14D" w14:textId="77777777" w:rsidR="006D4A39" w:rsidRPr="00D23BFB" w:rsidRDefault="006D4A39" w:rsidP="008E1A91">
            <w:pPr>
              <w:jc w:val="right"/>
              <w:rPr>
                <w:rFonts w:ascii="Garamond" w:hAnsi="Garamond"/>
                <w:b/>
                <w:bCs/>
                <w:sz w:val="24"/>
                <w:szCs w:val="24"/>
              </w:rPr>
            </w:pPr>
            <w:r w:rsidRPr="00D23BFB">
              <w:rPr>
                <w:rFonts w:ascii="Garamond" w:hAnsi="Garamond"/>
                <w:b/>
                <w:bCs/>
                <w:sz w:val="24"/>
                <w:szCs w:val="24"/>
              </w:rPr>
              <w:t>OF HARRIS COUNTY, TEXAS</w:t>
            </w:r>
          </w:p>
          <w:p w14:paraId="10AC2D00" w14:textId="77777777" w:rsidR="006D4A39" w:rsidRPr="00D23BFB" w:rsidRDefault="006D4A39" w:rsidP="008E1A91">
            <w:pPr>
              <w:jc w:val="right"/>
              <w:rPr>
                <w:rFonts w:ascii="Garamond" w:hAnsi="Garamond"/>
                <w:b/>
                <w:bCs/>
                <w:sz w:val="24"/>
                <w:szCs w:val="24"/>
              </w:rPr>
            </w:pPr>
          </w:p>
          <w:p w14:paraId="38470B0E" w14:textId="77777777" w:rsidR="006D4A39" w:rsidRPr="00D23BFB" w:rsidRDefault="006D4A39" w:rsidP="008E1A91">
            <w:pPr>
              <w:rPr>
                <w:rFonts w:ascii="Garamond" w:hAnsi="Garamond"/>
                <w:b/>
                <w:bCs/>
                <w:sz w:val="24"/>
                <w:szCs w:val="24"/>
              </w:rPr>
            </w:pPr>
          </w:p>
          <w:p w14:paraId="29900991" w14:textId="77777777" w:rsidR="00214349" w:rsidRPr="00D23BFB" w:rsidRDefault="00214349" w:rsidP="005A7CE1">
            <w:pPr>
              <w:rPr>
                <w:rFonts w:ascii="Garamond" w:hAnsi="Garamond"/>
                <w:b/>
                <w:bCs/>
                <w:sz w:val="24"/>
                <w:szCs w:val="24"/>
              </w:rPr>
            </w:pPr>
          </w:p>
          <w:p w14:paraId="6D899656" w14:textId="77777777" w:rsidR="004320E7" w:rsidRPr="00D23BFB" w:rsidRDefault="004320E7" w:rsidP="008E1A91">
            <w:pPr>
              <w:jc w:val="right"/>
              <w:rPr>
                <w:rFonts w:ascii="Garamond" w:hAnsi="Garamond"/>
                <w:b/>
                <w:bCs/>
                <w:sz w:val="24"/>
                <w:szCs w:val="24"/>
              </w:rPr>
            </w:pPr>
          </w:p>
          <w:p w14:paraId="13400FB5" w14:textId="77777777" w:rsidR="004320E7" w:rsidRPr="00D23BFB" w:rsidRDefault="004320E7" w:rsidP="008E1A91">
            <w:pPr>
              <w:jc w:val="right"/>
              <w:rPr>
                <w:rFonts w:ascii="Garamond" w:hAnsi="Garamond"/>
                <w:b/>
                <w:bCs/>
                <w:sz w:val="24"/>
                <w:szCs w:val="24"/>
              </w:rPr>
            </w:pPr>
          </w:p>
          <w:p w14:paraId="303D61A7" w14:textId="77777777" w:rsidR="00214349" w:rsidRPr="00D23BFB" w:rsidRDefault="00214349" w:rsidP="008E1A91">
            <w:pPr>
              <w:jc w:val="right"/>
              <w:rPr>
                <w:rFonts w:ascii="Garamond" w:hAnsi="Garamond"/>
                <w:b/>
                <w:bCs/>
                <w:sz w:val="24"/>
                <w:szCs w:val="24"/>
              </w:rPr>
            </w:pPr>
          </w:p>
          <w:p w14:paraId="39A40299" w14:textId="77777777" w:rsidR="006D4A39" w:rsidRPr="00D23BFB" w:rsidRDefault="006D4A39" w:rsidP="008E1A91">
            <w:pPr>
              <w:jc w:val="right"/>
              <w:rPr>
                <w:rFonts w:ascii="Garamond" w:hAnsi="Garamond"/>
                <w:b/>
                <w:bCs/>
                <w:sz w:val="24"/>
                <w:szCs w:val="24"/>
              </w:rPr>
            </w:pPr>
          </w:p>
          <w:p w14:paraId="6404871D" w14:textId="18EA8687" w:rsidR="006D4A39" w:rsidRPr="00D23BFB" w:rsidRDefault="00F810FB" w:rsidP="008E1A91">
            <w:pPr>
              <w:jc w:val="right"/>
              <w:rPr>
                <w:rFonts w:ascii="Garamond" w:hAnsi="Garamond"/>
                <w:b/>
                <w:bCs/>
                <w:sz w:val="24"/>
                <w:szCs w:val="24"/>
              </w:rPr>
            </w:pPr>
            <w:r>
              <w:rPr>
                <w:rFonts w:ascii="Garamond" w:hAnsi="Garamond"/>
                <w:b/>
                <w:bCs/>
                <w:sz w:val="24"/>
                <w:szCs w:val="24"/>
              </w:rPr>
              <w:t xml:space="preserve">_____ </w:t>
            </w:r>
            <w:r w:rsidR="006D4A39" w:rsidRPr="00D23BFB">
              <w:rPr>
                <w:rFonts w:ascii="Garamond" w:hAnsi="Garamond"/>
                <w:b/>
                <w:bCs/>
                <w:sz w:val="24"/>
                <w:szCs w:val="24"/>
              </w:rPr>
              <w:t>JUDICIAL DISTRICT</w:t>
            </w:r>
          </w:p>
        </w:tc>
      </w:tr>
      <w:bookmarkEnd w:id="0"/>
    </w:tbl>
    <w:p w14:paraId="1966565D" w14:textId="77777777" w:rsidR="006D4A39" w:rsidRPr="00D23BFB" w:rsidRDefault="006D4A39" w:rsidP="006D4A39">
      <w:pPr>
        <w:rPr>
          <w:rFonts w:ascii="Garamond" w:hAnsi="Garamond"/>
          <w:sz w:val="24"/>
          <w:szCs w:val="24"/>
        </w:rPr>
      </w:pPr>
    </w:p>
    <w:p w14:paraId="060BF220" w14:textId="705808B9" w:rsidR="006D4A39" w:rsidRPr="00321280" w:rsidRDefault="00321280" w:rsidP="006D4A39">
      <w:pPr>
        <w:jc w:val="center"/>
        <w:rPr>
          <w:rFonts w:ascii="Garamond" w:hAnsi="Garamond"/>
          <w:bCs/>
          <w:snapToGrid w:val="0"/>
          <w:sz w:val="24"/>
          <w:szCs w:val="24"/>
          <w:u w:val="single"/>
        </w:rPr>
      </w:pPr>
      <w:r w:rsidRPr="00321280">
        <w:rPr>
          <w:rFonts w:ascii="Garamond" w:hAnsi="Garamond"/>
          <w:b/>
          <w:snapToGrid w:val="0"/>
          <w:sz w:val="24"/>
          <w:szCs w:val="24"/>
          <w:u w:val="single"/>
        </w:rPr>
        <w:t xml:space="preserve">ORIGINAL </w:t>
      </w:r>
      <w:r w:rsidR="005A7CE1" w:rsidRPr="00321280">
        <w:rPr>
          <w:rFonts w:ascii="Garamond" w:hAnsi="Garamond"/>
          <w:b/>
          <w:snapToGrid w:val="0"/>
          <w:sz w:val="24"/>
          <w:szCs w:val="24"/>
          <w:u w:val="single"/>
        </w:rPr>
        <w:t>PETITION FOR BILL OF REVIEW</w:t>
      </w:r>
    </w:p>
    <w:p w14:paraId="13545BEB" w14:textId="77777777" w:rsidR="006D4A39" w:rsidRPr="00D23BFB" w:rsidRDefault="006D4A39" w:rsidP="006D4A39">
      <w:pPr>
        <w:jc w:val="center"/>
        <w:rPr>
          <w:rFonts w:ascii="Garamond" w:hAnsi="Garamond"/>
          <w:bCs/>
          <w:snapToGrid w:val="0"/>
          <w:sz w:val="24"/>
          <w:szCs w:val="24"/>
        </w:rPr>
      </w:pPr>
    </w:p>
    <w:p w14:paraId="2135A378" w14:textId="2FECC849" w:rsidR="00361993" w:rsidRDefault="006D4A39" w:rsidP="006D4A39">
      <w:pPr>
        <w:spacing w:line="480" w:lineRule="auto"/>
        <w:jc w:val="both"/>
        <w:rPr>
          <w:rFonts w:ascii="Garamond" w:hAnsi="Garamond"/>
          <w:bCs/>
          <w:snapToGrid w:val="0"/>
          <w:sz w:val="24"/>
          <w:szCs w:val="24"/>
        </w:rPr>
      </w:pPr>
      <w:r w:rsidRPr="00D23BFB">
        <w:rPr>
          <w:rFonts w:ascii="Garamond" w:hAnsi="Garamond"/>
          <w:bCs/>
          <w:snapToGrid w:val="0"/>
          <w:sz w:val="24"/>
          <w:szCs w:val="24"/>
        </w:rPr>
        <w:tab/>
      </w:r>
      <w:r w:rsidR="00AD4B6A">
        <w:rPr>
          <w:rFonts w:ascii="Garamond" w:hAnsi="Garamond"/>
          <w:bCs/>
          <w:snapToGrid w:val="0"/>
          <w:sz w:val="24"/>
          <w:szCs w:val="24"/>
        </w:rPr>
        <w:t xml:space="preserve">Pursuant to Rule 329b(f) of the Texas Rules of Civil Procedure, </w:t>
      </w:r>
      <w:r w:rsidR="004320E7" w:rsidRPr="00D23BFB">
        <w:rPr>
          <w:rFonts w:ascii="Garamond" w:hAnsi="Garamond"/>
          <w:bCs/>
          <w:snapToGrid w:val="0"/>
          <w:sz w:val="24"/>
          <w:szCs w:val="24"/>
        </w:rPr>
        <w:t>Plaintiff</w:t>
      </w:r>
      <w:r w:rsidR="005A7CE1">
        <w:rPr>
          <w:rFonts w:ascii="Garamond" w:hAnsi="Garamond"/>
          <w:bCs/>
          <w:snapToGrid w:val="0"/>
          <w:sz w:val="24"/>
          <w:szCs w:val="24"/>
        </w:rPr>
        <w:t>s</w:t>
      </w:r>
      <w:r w:rsidR="004320E7" w:rsidRPr="00D23BFB">
        <w:rPr>
          <w:rFonts w:ascii="Garamond" w:hAnsi="Garamond"/>
          <w:bCs/>
          <w:snapToGrid w:val="0"/>
          <w:sz w:val="24"/>
          <w:szCs w:val="24"/>
        </w:rPr>
        <w:t xml:space="preserve"> </w:t>
      </w:r>
      <w:r w:rsidRPr="00D23BFB">
        <w:rPr>
          <w:rFonts w:ascii="Garamond" w:hAnsi="Garamond"/>
          <w:bCs/>
          <w:snapToGrid w:val="0"/>
          <w:sz w:val="24"/>
          <w:szCs w:val="24"/>
        </w:rPr>
        <w:t>Caroline Allison</w:t>
      </w:r>
      <w:r w:rsidR="004320E7" w:rsidRPr="00D23BFB">
        <w:rPr>
          <w:rFonts w:ascii="Garamond" w:hAnsi="Garamond"/>
          <w:bCs/>
          <w:snapToGrid w:val="0"/>
          <w:sz w:val="24"/>
          <w:szCs w:val="24"/>
        </w:rPr>
        <w:t xml:space="preserve"> and Intervenor Richard Allison, Jr.</w:t>
      </w:r>
      <w:r w:rsidR="00321280">
        <w:rPr>
          <w:rFonts w:ascii="Garamond" w:hAnsi="Garamond"/>
          <w:bCs/>
          <w:snapToGrid w:val="0"/>
          <w:sz w:val="24"/>
          <w:szCs w:val="24"/>
        </w:rPr>
        <w:t xml:space="preserve">, </w:t>
      </w:r>
      <w:r w:rsidR="00AD4B6A">
        <w:rPr>
          <w:rFonts w:ascii="Garamond" w:hAnsi="Garamond"/>
          <w:bCs/>
          <w:snapToGrid w:val="0"/>
          <w:sz w:val="24"/>
          <w:szCs w:val="24"/>
        </w:rPr>
        <w:t>file this Original Petition for Bill of Review, complaining of</w:t>
      </w:r>
      <w:r w:rsidR="00321280">
        <w:rPr>
          <w:rFonts w:ascii="Garamond" w:hAnsi="Garamond"/>
          <w:bCs/>
          <w:snapToGrid w:val="0"/>
          <w:sz w:val="24"/>
          <w:szCs w:val="24"/>
        </w:rPr>
        <w:t xml:space="preserve"> Defendants </w:t>
      </w:r>
      <w:r w:rsidR="00AD4B6A" w:rsidRPr="00AD4B6A">
        <w:rPr>
          <w:rFonts w:ascii="Garamond" w:hAnsi="Garamond"/>
          <w:bCs/>
          <w:snapToGrid w:val="0"/>
          <w:sz w:val="24"/>
          <w:szCs w:val="24"/>
        </w:rPr>
        <w:t>Borunda, P.C., Jorge Borunda, Nicholas Abaza, Law Offices of Nicholas Abaza, P.C.</w:t>
      </w:r>
      <w:r w:rsidR="00E11BEA">
        <w:rPr>
          <w:rStyle w:val="FootnoteReference"/>
          <w:rFonts w:ascii="Garamond" w:hAnsi="Garamond"/>
          <w:bCs/>
          <w:snapToGrid w:val="0"/>
          <w:sz w:val="24"/>
          <w:szCs w:val="24"/>
        </w:rPr>
        <w:footnoteReference w:id="1"/>
      </w:r>
      <w:r w:rsidR="00AD4B6A" w:rsidRPr="00AD4B6A">
        <w:rPr>
          <w:rFonts w:ascii="Garamond" w:hAnsi="Garamond"/>
          <w:bCs/>
          <w:snapToGrid w:val="0"/>
          <w:sz w:val="24"/>
          <w:szCs w:val="24"/>
        </w:rPr>
        <w:t>, Michael Trevino, and Law Office of Michael A. Trevino, PLLC</w:t>
      </w:r>
      <w:r w:rsidR="00AD4B6A">
        <w:rPr>
          <w:rFonts w:ascii="Garamond" w:hAnsi="Garamond"/>
          <w:bCs/>
          <w:snapToGrid w:val="0"/>
          <w:sz w:val="24"/>
          <w:szCs w:val="24"/>
        </w:rPr>
        <w:t>,</w:t>
      </w:r>
      <w:r w:rsidRPr="00D23BFB">
        <w:rPr>
          <w:rFonts w:ascii="Garamond" w:hAnsi="Garamond"/>
          <w:bCs/>
          <w:snapToGrid w:val="0"/>
          <w:sz w:val="24"/>
          <w:szCs w:val="24"/>
        </w:rPr>
        <w:t xml:space="preserve"> </w:t>
      </w:r>
      <w:r w:rsidR="00A636C1">
        <w:rPr>
          <w:rFonts w:ascii="Garamond" w:hAnsi="Garamond"/>
          <w:bCs/>
          <w:snapToGrid w:val="0"/>
          <w:sz w:val="24"/>
          <w:szCs w:val="24"/>
        </w:rPr>
        <w:t xml:space="preserve">and would respectfully show as follows. </w:t>
      </w:r>
    </w:p>
    <w:p w14:paraId="058F435A" w14:textId="457E953A" w:rsidR="00484332" w:rsidRPr="007C66ED" w:rsidRDefault="00AD4B6A" w:rsidP="00484332">
      <w:pPr>
        <w:spacing w:line="480" w:lineRule="auto"/>
        <w:jc w:val="center"/>
        <w:rPr>
          <w:rFonts w:ascii="Garamond" w:hAnsi="Garamond"/>
          <w:b/>
          <w:smallCaps/>
          <w:snapToGrid w:val="0"/>
          <w:sz w:val="24"/>
          <w:szCs w:val="24"/>
        </w:rPr>
      </w:pPr>
      <w:r>
        <w:rPr>
          <w:rFonts w:ascii="Garamond" w:hAnsi="Garamond"/>
          <w:b/>
          <w:smallCaps/>
          <w:snapToGrid w:val="0"/>
          <w:sz w:val="24"/>
          <w:szCs w:val="24"/>
        </w:rPr>
        <w:t>Introduction</w:t>
      </w:r>
    </w:p>
    <w:p w14:paraId="60D27EB6" w14:textId="444B797D" w:rsidR="00035849" w:rsidRDefault="00184091" w:rsidP="00AC6CCF">
      <w:pPr>
        <w:spacing w:line="480" w:lineRule="auto"/>
        <w:jc w:val="both"/>
        <w:rPr>
          <w:rFonts w:ascii="Garamond" w:hAnsi="Garamond"/>
          <w:bCs/>
          <w:snapToGrid w:val="0"/>
          <w:sz w:val="24"/>
          <w:szCs w:val="24"/>
        </w:rPr>
      </w:pPr>
      <w:r>
        <w:rPr>
          <w:rFonts w:ascii="Garamond" w:hAnsi="Garamond"/>
          <w:bCs/>
          <w:snapToGrid w:val="0"/>
          <w:sz w:val="24"/>
          <w:szCs w:val="24"/>
        </w:rPr>
        <w:tab/>
        <w:t>“</w:t>
      </w:r>
      <w:r w:rsidRPr="00184091">
        <w:rPr>
          <w:rFonts w:ascii="Garamond" w:hAnsi="Garamond"/>
          <w:bCs/>
          <w:snapToGrid w:val="0"/>
          <w:sz w:val="24"/>
          <w:szCs w:val="24"/>
        </w:rPr>
        <w:t>Evident partiality of an arbitrator is a ground for vacating an arbitration award under both the Federal Arbitration Act and the Texas Arbitration Act.</w:t>
      </w:r>
      <w:r>
        <w:rPr>
          <w:rFonts w:ascii="Garamond" w:hAnsi="Garamond"/>
          <w:bCs/>
          <w:snapToGrid w:val="0"/>
          <w:sz w:val="24"/>
          <w:szCs w:val="24"/>
        </w:rPr>
        <w:t xml:space="preserve">” </w:t>
      </w:r>
      <w:r w:rsidRPr="00184091">
        <w:rPr>
          <w:rFonts w:ascii="Garamond" w:hAnsi="Garamond"/>
          <w:bCs/>
          <w:i/>
          <w:iCs/>
          <w:snapToGrid w:val="0"/>
          <w:sz w:val="24"/>
          <w:szCs w:val="24"/>
        </w:rPr>
        <w:t>Tenaska Energy, Inc. v. Ponderosa Pine Energy, LLC</w:t>
      </w:r>
      <w:r w:rsidRPr="00184091">
        <w:rPr>
          <w:rFonts w:ascii="Garamond" w:hAnsi="Garamond"/>
          <w:bCs/>
          <w:snapToGrid w:val="0"/>
          <w:sz w:val="24"/>
          <w:szCs w:val="24"/>
        </w:rPr>
        <w:t>, 437 S.W.3d 518, 519 (Tex. 2014)</w:t>
      </w:r>
      <w:r>
        <w:rPr>
          <w:rFonts w:ascii="Garamond" w:hAnsi="Garamond"/>
          <w:bCs/>
          <w:snapToGrid w:val="0"/>
          <w:sz w:val="24"/>
          <w:szCs w:val="24"/>
        </w:rPr>
        <w:t xml:space="preserve">. </w:t>
      </w:r>
      <w:r w:rsidR="00D6486B">
        <w:rPr>
          <w:rFonts w:ascii="Garamond" w:hAnsi="Garamond"/>
          <w:bCs/>
          <w:snapToGrid w:val="0"/>
          <w:sz w:val="24"/>
          <w:szCs w:val="24"/>
        </w:rPr>
        <w:t>“</w:t>
      </w:r>
      <w:r w:rsidR="00D6486B" w:rsidRPr="00D6486B">
        <w:rPr>
          <w:rFonts w:ascii="Garamond" w:hAnsi="Garamond"/>
          <w:bCs/>
          <w:snapToGrid w:val="0"/>
          <w:sz w:val="24"/>
          <w:szCs w:val="24"/>
        </w:rPr>
        <w:t xml:space="preserve">Adhering to United States Supreme Court precedent, </w:t>
      </w:r>
      <w:r w:rsidR="00D6486B">
        <w:rPr>
          <w:rFonts w:ascii="Garamond" w:hAnsi="Garamond"/>
          <w:bCs/>
          <w:snapToGrid w:val="0"/>
          <w:sz w:val="24"/>
          <w:szCs w:val="24"/>
        </w:rPr>
        <w:t xml:space="preserve">[the Texas Supreme Court] </w:t>
      </w:r>
      <w:r w:rsidR="00D6486B" w:rsidRPr="00D6486B">
        <w:rPr>
          <w:rFonts w:ascii="Garamond" w:hAnsi="Garamond"/>
          <w:bCs/>
          <w:snapToGrid w:val="0"/>
          <w:sz w:val="24"/>
          <w:szCs w:val="24"/>
        </w:rPr>
        <w:t>held almost two decades ago that a neutral arbitrator is evidently partial if she fails to disclose facts that might, to an objective observer, create a reasonable impression of her partiality.</w:t>
      </w:r>
      <w:r w:rsidR="00D6486B">
        <w:rPr>
          <w:rFonts w:ascii="Garamond" w:hAnsi="Garamond"/>
          <w:bCs/>
          <w:snapToGrid w:val="0"/>
          <w:sz w:val="24"/>
          <w:szCs w:val="24"/>
        </w:rPr>
        <w:t xml:space="preserve">” </w:t>
      </w:r>
      <w:r w:rsidR="00D6486B" w:rsidRPr="00D6486B">
        <w:rPr>
          <w:rFonts w:ascii="Garamond" w:hAnsi="Garamond"/>
          <w:bCs/>
          <w:i/>
          <w:iCs/>
          <w:snapToGrid w:val="0"/>
          <w:sz w:val="24"/>
          <w:szCs w:val="24"/>
        </w:rPr>
        <w:t>Id.</w:t>
      </w:r>
      <w:r w:rsidR="004F1E04">
        <w:rPr>
          <w:rFonts w:ascii="Garamond" w:hAnsi="Garamond"/>
          <w:bCs/>
          <w:snapToGrid w:val="0"/>
          <w:sz w:val="24"/>
          <w:szCs w:val="24"/>
        </w:rPr>
        <w:t xml:space="preserve"> That is what occurred here, albeit unknow</w:t>
      </w:r>
      <w:r w:rsidR="00334F8D">
        <w:rPr>
          <w:rFonts w:ascii="Garamond" w:hAnsi="Garamond"/>
          <w:bCs/>
          <w:snapToGrid w:val="0"/>
          <w:sz w:val="24"/>
          <w:szCs w:val="24"/>
        </w:rPr>
        <w:t>n</w:t>
      </w:r>
      <w:r w:rsidR="004F1E04">
        <w:rPr>
          <w:rFonts w:ascii="Garamond" w:hAnsi="Garamond"/>
          <w:bCs/>
          <w:snapToGrid w:val="0"/>
          <w:sz w:val="24"/>
          <w:szCs w:val="24"/>
        </w:rPr>
        <w:t xml:space="preserve"> </w:t>
      </w:r>
      <w:r w:rsidR="00B4100B">
        <w:rPr>
          <w:rFonts w:ascii="Garamond" w:hAnsi="Garamond"/>
          <w:bCs/>
          <w:snapToGrid w:val="0"/>
          <w:sz w:val="24"/>
          <w:szCs w:val="24"/>
        </w:rPr>
        <w:t xml:space="preserve">to </w:t>
      </w:r>
      <w:r w:rsidR="00A42146">
        <w:rPr>
          <w:rFonts w:ascii="Garamond" w:hAnsi="Garamond"/>
          <w:bCs/>
          <w:snapToGrid w:val="0"/>
          <w:sz w:val="24"/>
          <w:szCs w:val="24"/>
        </w:rPr>
        <w:t>Plaintiffs</w:t>
      </w:r>
      <w:r w:rsidR="004F1E04">
        <w:rPr>
          <w:rFonts w:ascii="Garamond" w:hAnsi="Garamond"/>
          <w:bCs/>
          <w:snapToGrid w:val="0"/>
          <w:sz w:val="24"/>
          <w:szCs w:val="24"/>
        </w:rPr>
        <w:t xml:space="preserve"> until recently. </w:t>
      </w:r>
      <w:r w:rsidR="000828DB">
        <w:rPr>
          <w:rFonts w:ascii="Garamond" w:hAnsi="Garamond"/>
          <w:bCs/>
          <w:snapToGrid w:val="0"/>
          <w:sz w:val="24"/>
          <w:szCs w:val="24"/>
        </w:rPr>
        <w:t xml:space="preserve">After final </w:t>
      </w:r>
      <w:r w:rsidR="000828DB">
        <w:rPr>
          <w:rFonts w:ascii="Garamond" w:hAnsi="Garamond"/>
          <w:bCs/>
          <w:snapToGrid w:val="0"/>
          <w:sz w:val="24"/>
          <w:szCs w:val="24"/>
        </w:rPr>
        <w:lastRenderedPageBreak/>
        <w:t>judgment confirming the arbitration award was entered in this case,</w:t>
      </w:r>
      <w:r w:rsidR="004F1E04">
        <w:rPr>
          <w:rFonts w:ascii="Garamond" w:hAnsi="Garamond"/>
          <w:bCs/>
          <w:snapToGrid w:val="0"/>
          <w:sz w:val="24"/>
          <w:szCs w:val="24"/>
        </w:rPr>
        <w:t xml:space="preserve"> </w:t>
      </w:r>
      <w:r w:rsidR="00BF3032">
        <w:rPr>
          <w:rFonts w:ascii="Garamond" w:hAnsi="Garamond"/>
          <w:bCs/>
          <w:snapToGrid w:val="0"/>
          <w:sz w:val="24"/>
          <w:szCs w:val="24"/>
        </w:rPr>
        <w:t>Plaintiff</w:t>
      </w:r>
      <w:r w:rsidR="00030CA2">
        <w:rPr>
          <w:rFonts w:ascii="Garamond" w:hAnsi="Garamond"/>
          <w:bCs/>
          <w:snapToGrid w:val="0"/>
          <w:sz w:val="24"/>
          <w:szCs w:val="24"/>
        </w:rPr>
        <w:t>s</w:t>
      </w:r>
      <w:r w:rsidR="00334F8D">
        <w:rPr>
          <w:rFonts w:ascii="Garamond" w:hAnsi="Garamond"/>
          <w:bCs/>
          <w:snapToGrid w:val="0"/>
          <w:sz w:val="24"/>
          <w:szCs w:val="24"/>
        </w:rPr>
        <w:t xml:space="preserve"> discovered </w:t>
      </w:r>
      <w:r w:rsidR="004F1E04">
        <w:rPr>
          <w:rFonts w:ascii="Garamond" w:hAnsi="Garamond"/>
          <w:bCs/>
          <w:snapToGrid w:val="0"/>
          <w:sz w:val="24"/>
          <w:szCs w:val="24"/>
        </w:rPr>
        <w:t xml:space="preserve">that the arbitrator, Anne Ashby, </w:t>
      </w:r>
      <w:r w:rsidR="00190A31">
        <w:rPr>
          <w:rFonts w:ascii="Garamond" w:hAnsi="Garamond"/>
          <w:bCs/>
          <w:snapToGrid w:val="0"/>
          <w:sz w:val="24"/>
          <w:szCs w:val="24"/>
        </w:rPr>
        <w:t xml:space="preserve">had an undisclosed </w:t>
      </w:r>
      <w:r w:rsidR="000828DB">
        <w:rPr>
          <w:rFonts w:ascii="Garamond" w:hAnsi="Garamond"/>
          <w:bCs/>
          <w:snapToGrid w:val="0"/>
          <w:sz w:val="24"/>
          <w:szCs w:val="24"/>
        </w:rPr>
        <w:t xml:space="preserve">current </w:t>
      </w:r>
      <w:r w:rsidR="00190A31">
        <w:rPr>
          <w:rFonts w:ascii="Garamond" w:hAnsi="Garamond"/>
          <w:bCs/>
          <w:snapToGrid w:val="0"/>
          <w:sz w:val="24"/>
          <w:szCs w:val="24"/>
        </w:rPr>
        <w:t xml:space="preserve">business relationship with </w:t>
      </w:r>
      <w:r w:rsidR="00B4100B">
        <w:rPr>
          <w:rFonts w:ascii="Garamond" w:hAnsi="Garamond"/>
          <w:bCs/>
          <w:snapToGrid w:val="0"/>
          <w:sz w:val="24"/>
          <w:szCs w:val="24"/>
        </w:rPr>
        <w:t xml:space="preserve">a </w:t>
      </w:r>
      <w:r w:rsidR="000828DB">
        <w:rPr>
          <w:rFonts w:ascii="Garamond" w:hAnsi="Garamond"/>
          <w:bCs/>
          <w:snapToGrid w:val="0"/>
          <w:sz w:val="24"/>
          <w:szCs w:val="24"/>
        </w:rPr>
        <w:t xml:space="preserve">lawyer in the Collins Law Group, the law firm </w:t>
      </w:r>
      <w:r w:rsidR="008C56EE">
        <w:rPr>
          <w:rFonts w:ascii="Garamond" w:hAnsi="Garamond"/>
          <w:bCs/>
          <w:snapToGrid w:val="0"/>
          <w:sz w:val="24"/>
          <w:szCs w:val="24"/>
        </w:rPr>
        <w:t xml:space="preserve">owned by </w:t>
      </w:r>
      <w:r w:rsidR="0095400A">
        <w:rPr>
          <w:rFonts w:ascii="Garamond" w:hAnsi="Garamond"/>
          <w:bCs/>
          <w:snapToGrid w:val="0"/>
          <w:sz w:val="24"/>
          <w:szCs w:val="24"/>
        </w:rPr>
        <w:t xml:space="preserve">Michael Collins, </w:t>
      </w:r>
      <w:r w:rsidR="00843967">
        <w:rPr>
          <w:rFonts w:ascii="Garamond" w:hAnsi="Garamond"/>
          <w:bCs/>
          <w:snapToGrid w:val="0"/>
          <w:sz w:val="24"/>
          <w:szCs w:val="24"/>
        </w:rPr>
        <w:t>who was a</w:t>
      </w:r>
      <w:r w:rsidR="00334F8D">
        <w:rPr>
          <w:rFonts w:ascii="Garamond" w:hAnsi="Garamond"/>
          <w:bCs/>
          <w:snapToGrid w:val="0"/>
          <w:sz w:val="24"/>
          <w:szCs w:val="24"/>
        </w:rPr>
        <w:t xml:space="preserve"> material witness</w:t>
      </w:r>
      <w:r w:rsidR="001E5EEE">
        <w:rPr>
          <w:rFonts w:ascii="Garamond" w:hAnsi="Garamond"/>
          <w:bCs/>
          <w:snapToGrid w:val="0"/>
          <w:sz w:val="24"/>
          <w:szCs w:val="24"/>
        </w:rPr>
        <w:t>,</w:t>
      </w:r>
      <w:r w:rsidR="00334F8D">
        <w:rPr>
          <w:rFonts w:ascii="Garamond" w:hAnsi="Garamond"/>
          <w:bCs/>
          <w:snapToGrid w:val="0"/>
          <w:sz w:val="24"/>
          <w:szCs w:val="24"/>
        </w:rPr>
        <w:t xml:space="preserve"> </w:t>
      </w:r>
      <w:r w:rsidR="00334F8D" w:rsidRPr="00E70EB8">
        <w:rPr>
          <w:rFonts w:ascii="Garamond" w:hAnsi="Garamond"/>
          <w:bCs/>
          <w:snapToGrid w:val="0"/>
          <w:sz w:val="24"/>
          <w:szCs w:val="24"/>
        </w:rPr>
        <w:t xml:space="preserve">called by </w:t>
      </w:r>
      <w:r w:rsidR="00A42146" w:rsidRPr="00E70EB8">
        <w:rPr>
          <w:rFonts w:ascii="Garamond" w:hAnsi="Garamond"/>
          <w:bCs/>
          <w:snapToGrid w:val="0"/>
          <w:sz w:val="24"/>
          <w:szCs w:val="24"/>
        </w:rPr>
        <w:t>Defendants</w:t>
      </w:r>
      <w:r w:rsidR="00334F8D" w:rsidRPr="00E70EB8">
        <w:rPr>
          <w:rFonts w:ascii="Garamond" w:hAnsi="Garamond"/>
          <w:bCs/>
          <w:snapToGrid w:val="0"/>
          <w:sz w:val="24"/>
          <w:szCs w:val="24"/>
        </w:rPr>
        <w:t xml:space="preserve"> </w:t>
      </w:r>
      <w:r w:rsidR="0095400A" w:rsidRPr="00E70EB8">
        <w:rPr>
          <w:rFonts w:ascii="Garamond" w:hAnsi="Garamond"/>
          <w:bCs/>
          <w:snapToGrid w:val="0"/>
          <w:sz w:val="24"/>
          <w:szCs w:val="24"/>
        </w:rPr>
        <w:t xml:space="preserve">to testify against </w:t>
      </w:r>
      <w:r w:rsidR="00A42146" w:rsidRPr="00E70EB8">
        <w:rPr>
          <w:rFonts w:ascii="Garamond" w:hAnsi="Garamond"/>
          <w:bCs/>
          <w:snapToGrid w:val="0"/>
          <w:sz w:val="24"/>
          <w:szCs w:val="24"/>
        </w:rPr>
        <w:t>Plaintiffs</w:t>
      </w:r>
      <w:r w:rsidR="004805ED" w:rsidRPr="00E70EB8">
        <w:rPr>
          <w:rFonts w:ascii="Garamond" w:hAnsi="Garamond"/>
          <w:bCs/>
          <w:snapToGrid w:val="0"/>
          <w:sz w:val="24"/>
          <w:szCs w:val="24"/>
        </w:rPr>
        <w:t xml:space="preserve"> at the </w:t>
      </w:r>
      <w:r w:rsidR="004805ED" w:rsidRPr="00A13610">
        <w:rPr>
          <w:rFonts w:ascii="Garamond" w:hAnsi="Garamond"/>
          <w:bCs/>
          <w:snapToGrid w:val="0"/>
          <w:sz w:val="24"/>
          <w:szCs w:val="24"/>
        </w:rPr>
        <w:t>arbitration hearing</w:t>
      </w:r>
      <w:r w:rsidR="008C56EE">
        <w:rPr>
          <w:rFonts w:ascii="Garamond" w:hAnsi="Garamond"/>
          <w:bCs/>
          <w:snapToGrid w:val="0"/>
          <w:sz w:val="24"/>
          <w:szCs w:val="24"/>
        </w:rPr>
        <w:t>, and who obtained sanctions against the Allisons</w:t>
      </w:r>
      <w:r w:rsidR="001E5EEE">
        <w:rPr>
          <w:rFonts w:ascii="Garamond" w:hAnsi="Garamond"/>
          <w:bCs/>
          <w:snapToGrid w:val="0"/>
          <w:sz w:val="24"/>
          <w:szCs w:val="24"/>
        </w:rPr>
        <w:t xml:space="preserve"> for noncompliance</w:t>
      </w:r>
      <w:r w:rsidR="00B4100B">
        <w:rPr>
          <w:rFonts w:ascii="Garamond" w:hAnsi="Garamond"/>
          <w:bCs/>
          <w:snapToGrid w:val="0"/>
          <w:sz w:val="24"/>
          <w:szCs w:val="24"/>
        </w:rPr>
        <w:t xml:space="preserve"> even though no party complied with the statutory grounds for modifying a trust</w:t>
      </w:r>
      <w:r w:rsidR="0095400A">
        <w:rPr>
          <w:rFonts w:ascii="Garamond" w:hAnsi="Garamond"/>
          <w:bCs/>
          <w:snapToGrid w:val="0"/>
          <w:sz w:val="24"/>
          <w:szCs w:val="24"/>
        </w:rPr>
        <w:t xml:space="preserve">. </w:t>
      </w:r>
      <w:r w:rsidR="00867EE2">
        <w:rPr>
          <w:rFonts w:ascii="Garamond" w:hAnsi="Garamond"/>
          <w:bCs/>
          <w:snapToGrid w:val="0"/>
          <w:sz w:val="24"/>
          <w:szCs w:val="24"/>
        </w:rPr>
        <w:t>“[E]</w:t>
      </w:r>
      <w:r w:rsidR="00867EE2" w:rsidRPr="00867EE2">
        <w:rPr>
          <w:rFonts w:ascii="Garamond" w:hAnsi="Garamond"/>
          <w:bCs/>
          <w:snapToGrid w:val="0"/>
          <w:sz w:val="24"/>
          <w:szCs w:val="24"/>
        </w:rPr>
        <w:t>vident partiality is established from the nondisclosure itself.</w:t>
      </w:r>
      <w:r w:rsidR="00867EE2">
        <w:rPr>
          <w:rFonts w:ascii="Garamond" w:hAnsi="Garamond"/>
          <w:bCs/>
          <w:snapToGrid w:val="0"/>
          <w:sz w:val="24"/>
          <w:szCs w:val="24"/>
        </w:rPr>
        <w:t>”</w:t>
      </w:r>
      <w:r w:rsidR="00AD0EAC">
        <w:rPr>
          <w:rFonts w:ascii="Garamond" w:hAnsi="Garamond"/>
          <w:bCs/>
          <w:snapToGrid w:val="0"/>
          <w:sz w:val="24"/>
          <w:szCs w:val="24"/>
        </w:rPr>
        <w:t xml:space="preserve"> </w:t>
      </w:r>
      <w:r w:rsidR="00867EE2" w:rsidRPr="00867EE2">
        <w:rPr>
          <w:rFonts w:ascii="Garamond" w:hAnsi="Garamond"/>
          <w:bCs/>
          <w:i/>
          <w:iCs/>
          <w:snapToGrid w:val="0"/>
          <w:sz w:val="24"/>
          <w:szCs w:val="24"/>
        </w:rPr>
        <w:t>Tenaska Energy</w:t>
      </w:r>
      <w:r w:rsidR="00867EE2" w:rsidRPr="00867EE2">
        <w:rPr>
          <w:rFonts w:ascii="Garamond" w:hAnsi="Garamond"/>
          <w:bCs/>
          <w:snapToGrid w:val="0"/>
          <w:sz w:val="24"/>
          <w:szCs w:val="24"/>
        </w:rPr>
        <w:t xml:space="preserve">, 437 S.W.3d </w:t>
      </w:r>
      <w:r w:rsidR="00867EE2">
        <w:rPr>
          <w:rFonts w:ascii="Garamond" w:hAnsi="Garamond"/>
          <w:bCs/>
          <w:snapToGrid w:val="0"/>
          <w:sz w:val="24"/>
          <w:szCs w:val="24"/>
        </w:rPr>
        <w:t>at</w:t>
      </w:r>
      <w:r w:rsidR="00867EE2" w:rsidRPr="00867EE2">
        <w:rPr>
          <w:rFonts w:ascii="Garamond" w:hAnsi="Garamond"/>
          <w:bCs/>
          <w:snapToGrid w:val="0"/>
          <w:sz w:val="24"/>
          <w:szCs w:val="24"/>
        </w:rPr>
        <w:t xml:space="preserve"> 527</w:t>
      </w:r>
      <w:r w:rsidR="00867EE2">
        <w:rPr>
          <w:rFonts w:ascii="Garamond" w:hAnsi="Garamond"/>
          <w:bCs/>
          <w:snapToGrid w:val="0"/>
          <w:sz w:val="24"/>
          <w:szCs w:val="24"/>
        </w:rPr>
        <w:t xml:space="preserve">. </w:t>
      </w:r>
      <w:r w:rsidR="000707B8">
        <w:rPr>
          <w:rFonts w:ascii="Garamond" w:hAnsi="Garamond"/>
          <w:bCs/>
          <w:snapToGrid w:val="0"/>
          <w:sz w:val="24"/>
          <w:szCs w:val="24"/>
        </w:rPr>
        <w:t xml:space="preserve">For the reasons stated herein, the Court should </w:t>
      </w:r>
      <w:r w:rsidR="008C56EE">
        <w:rPr>
          <w:rFonts w:ascii="Garamond" w:hAnsi="Garamond"/>
          <w:bCs/>
          <w:snapToGrid w:val="0"/>
          <w:sz w:val="24"/>
          <w:szCs w:val="24"/>
        </w:rPr>
        <w:t>grant this Petition for Bill of Review</w:t>
      </w:r>
      <w:r w:rsidR="005B595E">
        <w:rPr>
          <w:rFonts w:ascii="Garamond" w:hAnsi="Garamond"/>
          <w:bCs/>
          <w:snapToGrid w:val="0"/>
          <w:sz w:val="24"/>
          <w:szCs w:val="24"/>
        </w:rPr>
        <w:t xml:space="preserve"> and </w:t>
      </w:r>
      <w:r w:rsidR="000707B8">
        <w:rPr>
          <w:rFonts w:ascii="Garamond" w:hAnsi="Garamond"/>
          <w:bCs/>
          <w:snapToGrid w:val="0"/>
          <w:sz w:val="24"/>
          <w:szCs w:val="24"/>
        </w:rPr>
        <w:t>vacate the judgment confirming the arbitration award</w:t>
      </w:r>
      <w:r w:rsidR="005B595E">
        <w:rPr>
          <w:rFonts w:ascii="Garamond" w:hAnsi="Garamond"/>
          <w:bCs/>
          <w:snapToGrid w:val="0"/>
          <w:sz w:val="24"/>
          <w:szCs w:val="24"/>
        </w:rPr>
        <w:t>.</w:t>
      </w:r>
      <w:r w:rsidR="00AC6CCF">
        <w:rPr>
          <w:rFonts w:ascii="Garamond" w:hAnsi="Garamond"/>
          <w:bCs/>
          <w:snapToGrid w:val="0"/>
          <w:sz w:val="24"/>
          <w:szCs w:val="24"/>
        </w:rPr>
        <w:t xml:space="preserve"> </w:t>
      </w:r>
    </w:p>
    <w:p w14:paraId="188DAA3F" w14:textId="7EF169DF" w:rsidR="00A42146" w:rsidRDefault="00A42146" w:rsidP="00EB00BB">
      <w:pPr>
        <w:spacing w:line="480" w:lineRule="auto"/>
        <w:jc w:val="center"/>
        <w:rPr>
          <w:rFonts w:ascii="Garamond" w:hAnsi="Garamond"/>
          <w:b/>
          <w:smallCaps/>
          <w:snapToGrid w:val="0"/>
          <w:sz w:val="24"/>
          <w:szCs w:val="24"/>
        </w:rPr>
      </w:pPr>
      <w:r>
        <w:rPr>
          <w:rFonts w:ascii="Garamond" w:hAnsi="Garamond"/>
          <w:b/>
          <w:smallCaps/>
          <w:snapToGrid w:val="0"/>
          <w:sz w:val="24"/>
          <w:szCs w:val="24"/>
        </w:rPr>
        <w:t>Discovery Control Plan</w:t>
      </w:r>
    </w:p>
    <w:p w14:paraId="739E3CE3" w14:textId="00BD6DC1" w:rsidR="00A42146" w:rsidRPr="00A42146" w:rsidRDefault="00A42146" w:rsidP="00D671B5">
      <w:pPr>
        <w:spacing w:line="480" w:lineRule="auto"/>
        <w:jc w:val="both"/>
        <w:rPr>
          <w:rFonts w:ascii="Garamond" w:hAnsi="Garamond"/>
          <w:bCs/>
          <w:snapToGrid w:val="0"/>
          <w:sz w:val="24"/>
          <w:szCs w:val="24"/>
        </w:rPr>
      </w:pPr>
      <w:r>
        <w:rPr>
          <w:rFonts w:ascii="Garamond" w:hAnsi="Garamond"/>
          <w:b/>
          <w:smallCaps/>
          <w:snapToGrid w:val="0"/>
          <w:sz w:val="24"/>
          <w:szCs w:val="24"/>
        </w:rPr>
        <w:tab/>
      </w:r>
      <w:r w:rsidRPr="00A42146">
        <w:rPr>
          <w:rFonts w:ascii="Garamond" w:hAnsi="Garamond"/>
          <w:bCs/>
          <w:snapToGrid w:val="0"/>
          <w:sz w:val="24"/>
          <w:szCs w:val="24"/>
        </w:rPr>
        <w:t xml:space="preserve">Plaintiffs </w:t>
      </w:r>
      <w:r>
        <w:rPr>
          <w:rFonts w:ascii="Garamond" w:hAnsi="Garamond"/>
          <w:bCs/>
          <w:snapToGrid w:val="0"/>
          <w:sz w:val="24"/>
          <w:szCs w:val="24"/>
        </w:rPr>
        <w:t xml:space="preserve">seek a Bill of Review to set aside a judgment </w:t>
      </w:r>
      <w:r w:rsidR="00030CA2">
        <w:rPr>
          <w:rFonts w:ascii="Garamond" w:hAnsi="Garamond"/>
          <w:bCs/>
          <w:snapToGrid w:val="0"/>
          <w:sz w:val="24"/>
          <w:szCs w:val="24"/>
        </w:rPr>
        <w:t>exceeding</w:t>
      </w:r>
      <w:r>
        <w:rPr>
          <w:rFonts w:ascii="Garamond" w:hAnsi="Garamond"/>
          <w:bCs/>
          <w:snapToGrid w:val="0"/>
          <w:sz w:val="24"/>
          <w:szCs w:val="24"/>
        </w:rPr>
        <w:t xml:space="preserve"> $</w:t>
      </w:r>
      <w:r w:rsidR="00030CA2">
        <w:rPr>
          <w:rFonts w:ascii="Garamond" w:hAnsi="Garamond"/>
          <w:bCs/>
          <w:snapToGrid w:val="0"/>
          <w:sz w:val="24"/>
          <w:szCs w:val="24"/>
        </w:rPr>
        <w:t>1</w:t>
      </w:r>
      <w:r>
        <w:rPr>
          <w:rFonts w:ascii="Garamond" w:hAnsi="Garamond"/>
          <w:bCs/>
          <w:snapToGrid w:val="0"/>
          <w:sz w:val="24"/>
          <w:szCs w:val="24"/>
        </w:rPr>
        <w:t xml:space="preserve">,000,000. Plaintiffs intend to conduct discovery under Level </w:t>
      </w:r>
      <w:r w:rsidR="000A6302">
        <w:rPr>
          <w:rFonts w:ascii="Garamond" w:hAnsi="Garamond"/>
          <w:bCs/>
          <w:snapToGrid w:val="0"/>
          <w:sz w:val="24"/>
          <w:szCs w:val="24"/>
        </w:rPr>
        <w:t>3</w:t>
      </w:r>
      <w:r>
        <w:rPr>
          <w:rFonts w:ascii="Garamond" w:hAnsi="Garamond"/>
          <w:bCs/>
          <w:snapToGrid w:val="0"/>
          <w:sz w:val="24"/>
          <w:szCs w:val="24"/>
        </w:rPr>
        <w:t xml:space="preserve"> of the Texas Rules of Civil Procedure. This suit is not governed by the expedited process of Texas Rule of Civil Procedure 169 because the petition concerns monetary relief in excess of $</w:t>
      </w:r>
      <w:r w:rsidR="008B7EB5">
        <w:rPr>
          <w:rFonts w:ascii="Garamond" w:hAnsi="Garamond"/>
          <w:bCs/>
          <w:snapToGrid w:val="0"/>
          <w:sz w:val="24"/>
          <w:szCs w:val="24"/>
        </w:rPr>
        <w:t>1</w:t>
      </w:r>
      <w:r w:rsidR="00030CA2">
        <w:rPr>
          <w:rFonts w:ascii="Garamond" w:hAnsi="Garamond"/>
          <w:bCs/>
          <w:snapToGrid w:val="0"/>
          <w:sz w:val="24"/>
          <w:szCs w:val="24"/>
        </w:rPr>
        <w:t xml:space="preserve"> million </w:t>
      </w:r>
      <w:r w:rsidR="008B7EB5">
        <w:rPr>
          <w:rFonts w:ascii="Garamond" w:hAnsi="Garamond"/>
          <w:bCs/>
          <w:snapToGrid w:val="0"/>
          <w:sz w:val="24"/>
          <w:szCs w:val="24"/>
        </w:rPr>
        <w:t xml:space="preserve">and equitable relief. </w:t>
      </w:r>
      <w:r>
        <w:rPr>
          <w:rFonts w:ascii="Garamond" w:hAnsi="Garamond"/>
          <w:bCs/>
          <w:snapToGrid w:val="0"/>
          <w:sz w:val="24"/>
          <w:szCs w:val="24"/>
        </w:rPr>
        <w:t xml:space="preserve"> </w:t>
      </w:r>
    </w:p>
    <w:p w14:paraId="3CE1C4BF" w14:textId="0DC903AA" w:rsidR="00EB00BB" w:rsidRPr="007C66ED" w:rsidRDefault="00EB00BB" w:rsidP="00EB00BB">
      <w:pPr>
        <w:spacing w:line="480" w:lineRule="auto"/>
        <w:jc w:val="center"/>
        <w:rPr>
          <w:rFonts w:ascii="Garamond" w:hAnsi="Garamond"/>
          <w:b/>
          <w:smallCaps/>
          <w:snapToGrid w:val="0"/>
          <w:sz w:val="24"/>
          <w:szCs w:val="24"/>
        </w:rPr>
      </w:pPr>
      <w:r>
        <w:rPr>
          <w:rFonts w:ascii="Garamond" w:hAnsi="Garamond"/>
          <w:b/>
          <w:smallCaps/>
          <w:snapToGrid w:val="0"/>
          <w:sz w:val="24"/>
          <w:szCs w:val="24"/>
        </w:rPr>
        <w:t>Parties</w:t>
      </w:r>
    </w:p>
    <w:p w14:paraId="1CA5322C" w14:textId="5CB842EC" w:rsidR="00DF66D1" w:rsidRDefault="00EB00BB" w:rsidP="00DF66D1">
      <w:pPr>
        <w:spacing w:line="480" w:lineRule="auto"/>
        <w:jc w:val="both"/>
        <w:rPr>
          <w:rFonts w:ascii="Garamond" w:hAnsi="Garamond"/>
          <w:bCs/>
          <w:snapToGrid w:val="0"/>
          <w:sz w:val="24"/>
          <w:szCs w:val="24"/>
        </w:rPr>
      </w:pPr>
      <w:r w:rsidRPr="00D23BFB">
        <w:rPr>
          <w:rFonts w:ascii="Garamond" w:hAnsi="Garamond"/>
          <w:bCs/>
          <w:snapToGrid w:val="0"/>
          <w:sz w:val="24"/>
          <w:szCs w:val="24"/>
        </w:rPr>
        <w:tab/>
      </w:r>
      <w:r w:rsidR="00DF66D1" w:rsidRPr="00DF66D1">
        <w:rPr>
          <w:rFonts w:ascii="Garamond" w:hAnsi="Garamond"/>
          <w:bCs/>
          <w:snapToGrid w:val="0"/>
          <w:sz w:val="24"/>
          <w:szCs w:val="24"/>
        </w:rPr>
        <w:t xml:space="preserve">Plaintiff, Caroline Allison, is an individual residing in Harris County, Texas.  </w:t>
      </w:r>
    </w:p>
    <w:p w14:paraId="3A1684F8" w14:textId="4489720E" w:rsidR="00DF66D1" w:rsidRPr="00DF66D1" w:rsidRDefault="00DF66D1" w:rsidP="00DF66D1">
      <w:pPr>
        <w:spacing w:line="480" w:lineRule="auto"/>
        <w:jc w:val="both"/>
        <w:rPr>
          <w:rFonts w:ascii="Garamond" w:hAnsi="Garamond"/>
          <w:bCs/>
          <w:snapToGrid w:val="0"/>
          <w:sz w:val="24"/>
          <w:szCs w:val="24"/>
        </w:rPr>
      </w:pPr>
      <w:r>
        <w:rPr>
          <w:rFonts w:ascii="Garamond" w:hAnsi="Garamond"/>
          <w:bCs/>
          <w:snapToGrid w:val="0"/>
          <w:sz w:val="24"/>
          <w:szCs w:val="24"/>
        </w:rPr>
        <w:tab/>
        <w:t xml:space="preserve">Plaintiff, Richard Allison, Jr., is an individual residing in California. </w:t>
      </w:r>
    </w:p>
    <w:p w14:paraId="088289C5" w14:textId="67E96A09" w:rsidR="00DF66D1" w:rsidRPr="00DF66D1" w:rsidRDefault="00DF66D1" w:rsidP="00DF66D1">
      <w:pPr>
        <w:spacing w:line="480" w:lineRule="auto"/>
        <w:ind w:firstLine="720"/>
        <w:jc w:val="both"/>
        <w:rPr>
          <w:rFonts w:ascii="Garamond" w:hAnsi="Garamond"/>
          <w:bCs/>
          <w:snapToGrid w:val="0"/>
          <w:sz w:val="24"/>
          <w:szCs w:val="24"/>
        </w:rPr>
      </w:pPr>
      <w:r w:rsidRPr="00DF66D1">
        <w:rPr>
          <w:rFonts w:ascii="Garamond" w:hAnsi="Garamond"/>
          <w:bCs/>
          <w:snapToGrid w:val="0"/>
          <w:sz w:val="24"/>
          <w:szCs w:val="24"/>
        </w:rPr>
        <w:t xml:space="preserve">Defendant, Borunda, P.C., is a Texas Professional Corporation with its principal office in Harris County, Texas and may be served with citation by serving its registered agent, Jorge Borunda, at 2444 Times Blvd., Suite 270, Houston, Texas, or wherever he may be found. </w:t>
      </w:r>
    </w:p>
    <w:p w14:paraId="12EBFE7F" w14:textId="4D03C461" w:rsidR="00DF66D1" w:rsidRPr="00DF66D1" w:rsidRDefault="00DF66D1" w:rsidP="00A460C2">
      <w:pPr>
        <w:spacing w:line="480" w:lineRule="auto"/>
        <w:ind w:firstLine="720"/>
        <w:jc w:val="both"/>
        <w:rPr>
          <w:rFonts w:ascii="Garamond" w:hAnsi="Garamond"/>
          <w:bCs/>
          <w:snapToGrid w:val="0"/>
          <w:sz w:val="24"/>
          <w:szCs w:val="24"/>
        </w:rPr>
      </w:pPr>
      <w:r w:rsidRPr="00DF66D1">
        <w:rPr>
          <w:rFonts w:ascii="Garamond" w:hAnsi="Garamond"/>
          <w:bCs/>
          <w:snapToGrid w:val="0"/>
          <w:sz w:val="24"/>
          <w:szCs w:val="24"/>
        </w:rPr>
        <w:t xml:space="preserve">Defendant, Jorge Borunda, is an attorney licensed to practice law in Texas and may be served with citation at his principal place of business, Borunda, P.C., 2444 Times Blvd., Suite 270, Houston, Texas, or wherever he may be found. </w:t>
      </w:r>
    </w:p>
    <w:p w14:paraId="028EFCE5" w14:textId="249189BE" w:rsidR="00DF66D1" w:rsidRPr="00DF66D1" w:rsidRDefault="00DF66D1" w:rsidP="00A460C2">
      <w:pPr>
        <w:spacing w:line="480" w:lineRule="auto"/>
        <w:ind w:firstLine="720"/>
        <w:jc w:val="both"/>
        <w:rPr>
          <w:rFonts w:ascii="Garamond" w:hAnsi="Garamond"/>
          <w:bCs/>
          <w:snapToGrid w:val="0"/>
          <w:sz w:val="24"/>
          <w:szCs w:val="24"/>
        </w:rPr>
      </w:pPr>
      <w:r w:rsidRPr="00DF66D1">
        <w:rPr>
          <w:rFonts w:ascii="Garamond" w:hAnsi="Garamond"/>
          <w:bCs/>
          <w:snapToGrid w:val="0"/>
          <w:sz w:val="24"/>
          <w:szCs w:val="24"/>
        </w:rPr>
        <w:lastRenderedPageBreak/>
        <w:t xml:space="preserve">Defendant, Nicholas Abaza, is an attorney licensed to practice law in Texas and may be served with citation at his principal place of business, Law Offices of Nicholas Abaza, P.C., 2444 Times Blvd., Suite 270, Houston, Texas, or wherever he may be found. </w:t>
      </w:r>
    </w:p>
    <w:p w14:paraId="42889DDB" w14:textId="7E5E02F4" w:rsidR="00DF66D1" w:rsidRPr="00DF66D1" w:rsidRDefault="00DF66D1" w:rsidP="00A460C2">
      <w:pPr>
        <w:spacing w:line="480" w:lineRule="auto"/>
        <w:ind w:firstLine="720"/>
        <w:jc w:val="both"/>
        <w:rPr>
          <w:rFonts w:ascii="Garamond" w:hAnsi="Garamond"/>
          <w:bCs/>
          <w:snapToGrid w:val="0"/>
          <w:sz w:val="24"/>
          <w:szCs w:val="24"/>
        </w:rPr>
      </w:pPr>
      <w:r w:rsidRPr="00DF66D1">
        <w:rPr>
          <w:rFonts w:ascii="Garamond" w:hAnsi="Garamond"/>
          <w:bCs/>
          <w:snapToGrid w:val="0"/>
          <w:sz w:val="24"/>
          <w:szCs w:val="24"/>
        </w:rPr>
        <w:t>Defendant, Law Offices of Nicholas Abaza, P.C., is a Texas Professional Corporation with its principal office in Harris County, Texas and may be served with citation by serving its registered agent, Nicholas Abaza, at 2444 Times Blvd., Suite 270, Houston, Texas, or wherever he may be found.</w:t>
      </w:r>
    </w:p>
    <w:p w14:paraId="0E1CAB0A" w14:textId="77A44F09" w:rsidR="00DF66D1" w:rsidRPr="00DF66D1" w:rsidRDefault="00DF66D1" w:rsidP="00A460C2">
      <w:pPr>
        <w:spacing w:line="480" w:lineRule="auto"/>
        <w:ind w:firstLine="720"/>
        <w:jc w:val="both"/>
        <w:rPr>
          <w:rFonts w:ascii="Garamond" w:hAnsi="Garamond"/>
          <w:bCs/>
          <w:snapToGrid w:val="0"/>
          <w:sz w:val="24"/>
          <w:szCs w:val="24"/>
        </w:rPr>
      </w:pPr>
      <w:r w:rsidRPr="00DF66D1">
        <w:rPr>
          <w:rFonts w:ascii="Garamond" w:hAnsi="Garamond"/>
          <w:bCs/>
          <w:snapToGrid w:val="0"/>
          <w:sz w:val="24"/>
          <w:szCs w:val="24"/>
        </w:rPr>
        <w:t xml:space="preserve">Defendant, Michael Trevino, is an attorney licensed to practice law in Texas and may be served with citation at his principal place of business, Law Office of Michael A. Trevino, PLLC, 1345 Campbell Road, Suite 100, Houston, Texas, or wherever he may be found. </w:t>
      </w:r>
    </w:p>
    <w:p w14:paraId="1C2D7A77" w14:textId="75790AF8" w:rsidR="00FE1D11" w:rsidRDefault="00DF66D1" w:rsidP="00A460C2">
      <w:pPr>
        <w:spacing w:line="480" w:lineRule="auto"/>
        <w:ind w:firstLine="720"/>
        <w:jc w:val="both"/>
        <w:rPr>
          <w:rFonts w:ascii="Garamond" w:hAnsi="Garamond"/>
          <w:bCs/>
          <w:snapToGrid w:val="0"/>
          <w:sz w:val="24"/>
          <w:szCs w:val="24"/>
        </w:rPr>
      </w:pPr>
      <w:r w:rsidRPr="00DF66D1">
        <w:rPr>
          <w:rFonts w:ascii="Garamond" w:hAnsi="Garamond"/>
          <w:bCs/>
          <w:snapToGrid w:val="0"/>
          <w:sz w:val="24"/>
          <w:szCs w:val="24"/>
        </w:rPr>
        <w:t>Defendant, Law Office of Michael A. Trevino, PLLC, is a Texas Professional Limited Liability Company with its principal office in Harris County, Texas and may be served with citation by serving its registered agent, Michael Trevino, at 1345 Campbell Road, Suite 100, Houston, Texas, or wherever he may be found.</w:t>
      </w:r>
    </w:p>
    <w:p w14:paraId="06847961" w14:textId="52B4E4B8" w:rsidR="00A460C2" w:rsidRPr="00B21410" w:rsidRDefault="00B21410" w:rsidP="00B21410">
      <w:pPr>
        <w:spacing w:line="480" w:lineRule="auto"/>
        <w:jc w:val="center"/>
        <w:rPr>
          <w:rFonts w:ascii="Garamond" w:hAnsi="Garamond"/>
          <w:b/>
          <w:smallCaps/>
          <w:snapToGrid w:val="0"/>
          <w:sz w:val="24"/>
          <w:szCs w:val="24"/>
        </w:rPr>
      </w:pPr>
      <w:r w:rsidRPr="00B21410">
        <w:rPr>
          <w:rFonts w:ascii="Garamond" w:hAnsi="Garamond"/>
          <w:b/>
          <w:smallCaps/>
          <w:snapToGrid w:val="0"/>
          <w:sz w:val="24"/>
          <w:szCs w:val="24"/>
        </w:rPr>
        <w:t xml:space="preserve">Jurisdiction </w:t>
      </w:r>
      <w:r>
        <w:rPr>
          <w:rFonts w:ascii="Garamond" w:hAnsi="Garamond"/>
          <w:b/>
          <w:smallCaps/>
          <w:snapToGrid w:val="0"/>
          <w:sz w:val="24"/>
          <w:szCs w:val="24"/>
        </w:rPr>
        <w:t>a</w:t>
      </w:r>
      <w:r w:rsidRPr="00B21410">
        <w:rPr>
          <w:rFonts w:ascii="Garamond" w:hAnsi="Garamond"/>
          <w:b/>
          <w:smallCaps/>
          <w:snapToGrid w:val="0"/>
          <w:sz w:val="24"/>
          <w:szCs w:val="24"/>
        </w:rPr>
        <w:t>nd Venue</w:t>
      </w:r>
    </w:p>
    <w:p w14:paraId="74F151A1" w14:textId="093B2404" w:rsidR="00FE1D11" w:rsidRDefault="00A460C2" w:rsidP="009B6F83">
      <w:pPr>
        <w:spacing w:line="480" w:lineRule="auto"/>
        <w:ind w:firstLine="720"/>
        <w:jc w:val="both"/>
        <w:rPr>
          <w:rFonts w:ascii="Garamond" w:hAnsi="Garamond"/>
          <w:bCs/>
          <w:snapToGrid w:val="0"/>
          <w:sz w:val="24"/>
          <w:szCs w:val="24"/>
        </w:rPr>
      </w:pPr>
      <w:r w:rsidRPr="00A460C2">
        <w:rPr>
          <w:rFonts w:ascii="Garamond" w:hAnsi="Garamond"/>
          <w:bCs/>
          <w:snapToGrid w:val="0"/>
          <w:sz w:val="24"/>
          <w:szCs w:val="24"/>
        </w:rPr>
        <w:t xml:space="preserve">This </w:t>
      </w:r>
      <w:r w:rsidR="00B21410">
        <w:rPr>
          <w:rFonts w:ascii="Garamond" w:hAnsi="Garamond"/>
          <w:bCs/>
          <w:snapToGrid w:val="0"/>
          <w:sz w:val="24"/>
          <w:szCs w:val="24"/>
        </w:rPr>
        <w:t>action seeks to vacate an underlying judgment that was rendered in the 269</w:t>
      </w:r>
      <w:r w:rsidR="00B21410" w:rsidRPr="00B21410">
        <w:rPr>
          <w:rFonts w:ascii="Garamond" w:hAnsi="Garamond"/>
          <w:bCs/>
          <w:snapToGrid w:val="0"/>
          <w:sz w:val="24"/>
          <w:szCs w:val="24"/>
          <w:vertAlign w:val="superscript"/>
        </w:rPr>
        <w:t>th</w:t>
      </w:r>
      <w:r w:rsidR="00B21410">
        <w:rPr>
          <w:rFonts w:ascii="Garamond" w:hAnsi="Garamond"/>
          <w:bCs/>
          <w:snapToGrid w:val="0"/>
          <w:sz w:val="24"/>
          <w:szCs w:val="24"/>
        </w:rPr>
        <w:t xml:space="preserve"> Judicial District</w:t>
      </w:r>
      <w:r w:rsidR="009B6F83">
        <w:rPr>
          <w:rFonts w:ascii="Garamond" w:hAnsi="Garamond"/>
          <w:bCs/>
          <w:snapToGrid w:val="0"/>
          <w:sz w:val="24"/>
          <w:szCs w:val="24"/>
        </w:rPr>
        <w:t xml:space="preserve"> </w:t>
      </w:r>
      <w:r w:rsidR="001E5EEE">
        <w:rPr>
          <w:rFonts w:ascii="Garamond" w:hAnsi="Garamond"/>
          <w:bCs/>
          <w:snapToGrid w:val="0"/>
          <w:sz w:val="24"/>
          <w:szCs w:val="24"/>
        </w:rPr>
        <w:t xml:space="preserve">Court </w:t>
      </w:r>
      <w:r w:rsidR="009B6F83">
        <w:rPr>
          <w:rFonts w:ascii="Garamond" w:hAnsi="Garamond"/>
          <w:bCs/>
          <w:snapToGrid w:val="0"/>
          <w:sz w:val="24"/>
          <w:szCs w:val="24"/>
        </w:rPr>
        <w:t>of Harris County, Texas. That Court has jurisdiction over this Original Petition for Bill of Review.</w:t>
      </w:r>
      <w:r w:rsidR="00C9113F">
        <w:rPr>
          <w:rFonts w:ascii="Garamond" w:hAnsi="Garamond"/>
          <w:bCs/>
          <w:snapToGrid w:val="0"/>
          <w:sz w:val="24"/>
          <w:szCs w:val="24"/>
        </w:rPr>
        <w:t xml:space="preserve"> </w:t>
      </w:r>
    </w:p>
    <w:p w14:paraId="3650D315" w14:textId="585FBACA" w:rsidR="00484332" w:rsidRPr="007C66ED" w:rsidRDefault="00065EC4" w:rsidP="00484332">
      <w:pPr>
        <w:spacing w:line="480" w:lineRule="auto"/>
        <w:jc w:val="center"/>
        <w:rPr>
          <w:rFonts w:ascii="Garamond" w:hAnsi="Garamond"/>
          <w:b/>
          <w:smallCaps/>
          <w:snapToGrid w:val="0"/>
          <w:sz w:val="24"/>
          <w:szCs w:val="24"/>
        </w:rPr>
      </w:pPr>
      <w:r>
        <w:rPr>
          <w:rFonts w:ascii="Garamond" w:hAnsi="Garamond"/>
          <w:b/>
          <w:smallCaps/>
          <w:snapToGrid w:val="0"/>
          <w:sz w:val="24"/>
          <w:szCs w:val="24"/>
        </w:rPr>
        <w:t xml:space="preserve">Factual </w:t>
      </w:r>
      <w:r w:rsidR="00484332" w:rsidRPr="007C66ED">
        <w:rPr>
          <w:rFonts w:ascii="Garamond" w:hAnsi="Garamond"/>
          <w:b/>
          <w:smallCaps/>
          <w:snapToGrid w:val="0"/>
          <w:sz w:val="24"/>
          <w:szCs w:val="24"/>
        </w:rPr>
        <w:t>Background</w:t>
      </w:r>
    </w:p>
    <w:p w14:paraId="08BAB433" w14:textId="72835DC4" w:rsidR="00463E6B" w:rsidRDefault="00361993" w:rsidP="00050D1C">
      <w:pPr>
        <w:spacing w:line="480" w:lineRule="auto"/>
        <w:jc w:val="both"/>
        <w:rPr>
          <w:rFonts w:ascii="Garamond" w:hAnsi="Garamond"/>
          <w:bCs/>
          <w:snapToGrid w:val="0"/>
          <w:sz w:val="24"/>
          <w:szCs w:val="24"/>
        </w:rPr>
      </w:pPr>
      <w:r w:rsidRPr="00D23BFB">
        <w:rPr>
          <w:rFonts w:ascii="Garamond" w:hAnsi="Garamond"/>
          <w:bCs/>
          <w:snapToGrid w:val="0"/>
          <w:sz w:val="24"/>
          <w:szCs w:val="24"/>
        </w:rPr>
        <w:tab/>
      </w:r>
      <w:r w:rsidR="00035849">
        <w:rPr>
          <w:rFonts w:ascii="Garamond" w:hAnsi="Garamond"/>
          <w:bCs/>
          <w:snapToGrid w:val="0"/>
          <w:sz w:val="24"/>
          <w:szCs w:val="24"/>
        </w:rPr>
        <w:t xml:space="preserve"> </w:t>
      </w:r>
      <w:r w:rsidR="00AD0EAC">
        <w:rPr>
          <w:rFonts w:ascii="Garamond" w:hAnsi="Garamond"/>
          <w:bCs/>
          <w:snapToGrid w:val="0"/>
          <w:sz w:val="24"/>
          <w:szCs w:val="24"/>
        </w:rPr>
        <w:t xml:space="preserve">This </w:t>
      </w:r>
      <w:r w:rsidR="008D57BF">
        <w:rPr>
          <w:rFonts w:ascii="Garamond" w:hAnsi="Garamond"/>
          <w:bCs/>
          <w:snapToGrid w:val="0"/>
          <w:sz w:val="24"/>
          <w:szCs w:val="24"/>
        </w:rPr>
        <w:t xml:space="preserve">bill of review proceeding arises from </w:t>
      </w:r>
      <w:r w:rsidR="008E66BA">
        <w:rPr>
          <w:rFonts w:ascii="Garamond" w:hAnsi="Garamond"/>
          <w:bCs/>
          <w:snapToGrid w:val="0"/>
          <w:sz w:val="24"/>
          <w:szCs w:val="24"/>
        </w:rPr>
        <w:t xml:space="preserve">Cause No. 2021-80256, </w:t>
      </w:r>
      <w:r w:rsidR="008E66BA" w:rsidRPr="00EC008B">
        <w:rPr>
          <w:rFonts w:ascii="Garamond" w:hAnsi="Garamond"/>
          <w:bCs/>
          <w:i/>
          <w:iCs/>
          <w:snapToGrid w:val="0"/>
          <w:sz w:val="24"/>
          <w:szCs w:val="24"/>
        </w:rPr>
        <w:t>Caroline Allison v. Borunda, P.C., et al.</w:t>
      </w:r>
      <w:r w:rsidR="008E66BA">
        <w:rPr>
          <w:rFonts w:ascii="Garamond" w:hAnsi="Garamond"/>
          <w:bCs/>
          <w:snapToGrid w:val="0"/>
          <w:sz w:val="24"/>
          <w:szCs w:val="24"/>
        </w:rPr>
        <w:t xml:space="preserve">, in the </w:t>
      </w:r>
      <w:r w:rsidR="00EC008B">
        <w:rPr>
          <w:rFonts w:ascii="Garamond" w:hAnsi="Garamond"/>
          <w:bCs/>
          <w:snapToGrid w:val="0"/>
          <w:sz w:val="24"/>
          <w:szCs w:val="24"/>
        </w:rPr>
        <w:t>269</w:t>
      </w:r>
      <w:r w:rsidR="00EC008B" w:rsidRPr="00EC008B">
        <w:rPr>
          <w:rFonts w:ascii="Garamond" w:hAnsi="Garamond"/>
          <w:bCs/>
          <w:snapToGrid w:val="0"/>
          <w:sz w:val="24"/>
          <w:szCs w:val="24"/>
          <w:vertAlign w:val="superscript"/>
        </w:rPr>
        <w:t>th</w:t>
      </w:r>
      <w:r w:rsidR="00EC008B">
        <w:rPr>
          <w:rFonts w:ascii="Garamond" w:hAnsi="Garamond"/>
          <w:bCs/>
          <w:snapToGrid w:val="0"/>
          <w:sz w:val="24"/>
          <w:szCs w:val="24"/>
        </w:rPr>
        <w:t xml:space="preserve"> Judicial District Court of Harris County, Texas (“the underlying suit”). In the underlying suit, the tr</w:t>
      </w:r>
      <w:r w:rsidR="006565C2">
        <w:rPr>
          <w:rFonts w:ascii="Garamond" w:hAnsi="Garamond"/>
          <w:bCs/>
          <w:snapToGrid w:val="0"/>
          <w:sz w:val="24"/>
          <w:szCs w:val="24"/>
        </w:rPr>
        <w:t>ia</w:t>
      </w:r>
      <w:r w:rsidR="00EC008B">
        <w:rPr>
          <w:rFonts w:ascii="Garamond" w:hAnsi="Garamond"/>
          <w:bCs/>
          <w:snapToGrid w:val="0"/>
          <w:sz w:val="24"/>
          <w:szCs w:val="24"/>
        </w:rPr>
        <w:t xml:space="preserve">l court </w:t>
      </w:r>
      <w:r w:rsidR="00BF3032">
        <w:rPr>
          <w:rFonts w:ascii="Garamond" w:hAnsi="Garamond"/>
          <w:bCs/>
          <w:snapToGrid w:val="0"/>
          <w:sz w:val="24"/>
          <w:szCs w:val="24"/>
        </w:rPr>
        <w:t xml:space="preserve">entered judgment based on an arbitration award entered by Hon. Anne Ashby. </w:t>
      </w:r>
      <w:r w:rsidR="00C9113F">
        <w:rPr>
          <w:rFonts w:ascii="Garamond" w:hAnsi="Garamond"/>
          <w:bCs/>
          <w:snapToGrid w:val="0"/>
          <w:sz w:val="24"/>
          <w:szCs w:val="24"/>
        </w:rPr>
        <w:t xml:space="preserve">That award arose out of a dispute between Plaintiffs Caroline and Richard Allison (“the Allisons”) and their lawyers </w:t>
      </w:r>
      <w:r w:rsidR="006B76EE" w:rsidRPr="00DF66D1">
        <w:rPr>
          <w:rFonts w:ascii="Garamond" w:hAnsi="Garamond"/>
          <w:bCs/>
          <w:snapToGrid w:val="0"/>
          <w:sz w:val="24"/>
          <w:szCs w:val="24"/>
        </w:rPr>
        <w:t>Jorge Borunda</w:t>
      </w:r>
      <w:r w:rsidR="006B76EE">
        <w:rPr>
          <w:rFonts w:ascii="Garamond" w:hAnsi="Garamond"/>
          <w:bCs/>
          <w:snapToGrid w:val="0"/>
          <w:sz w:val="24"/>
          <w:szCs w:val="24"/>
        </w:rPr>
        <w:t xml:space="preserve">, </w:t>
      </w:r>
      <w:r w:rsidR="006B76EE" w:rsidRPr="00DF66D1">
        <w:rPr>
          <w:rFonts w:ascii="Garamond" w:hAnsi="Garamond"/>
          <w:bCs/>
          <w:snapToGrid w:val="0"/>
          <w:sz w:val="24"/>
          <w:szCs w:val="24"/>
        </w:rPr>
        <w:t>Nicholas Abaza</w:t>
      </w:r>
      <w:r w:rsidR="006B76EE">
        <w:rPr>
          <w:rFonts w:ascii="Garamond" w:hAnsi="Garamond"/>
          <w:bCs/>
          <w:snapToGrid w:val="0"/>
          <w:sz w:val="24"/>
          <w:szCs w:val="24"/>
        </w:rPr>
        <w:t xml:space="preserve">, and </w:t>
      </w:r>
      <w:r w:rsidR="006B76EE" w:rsidRPr="00DF66D1">
        <w:rPr>
          <w:rFonts w:ascii="Garamond" w:hAnsi="Garamond"/>
          <w:bCs/>
          <w:snapToGrid w:val="0"/>
          <w:sz w:val="24"/>
          <w:szCs w:val="24"/>
        </w:rPr>
        <w:t>Michael Trevino</w:t>
      </w:r>
      <w:r w:rsidR="006B76EE">
        <w:rPr>
          <w:rFonts w:ascii="Garamond" w:hAnsi="Garamond"/>
          <w:bCs/>
          <w:snapToGrid w:val="0"/>
          <w:sz w:val="24"/>
          <w:szCs w:val="24"/>
        </w:rPr>
        <w:t>, and their respective law firms (“Defendants” or the “Lawyers”). And</w:t>
      </w:r>
      <w:r w:rsidR="001E5EEE">
        <w:rPr>
          <w:rFonts w:ascii="Garamond" w:hAnsi="Garamond"/>
          <w:bCs/>
          <w:snapToGrid w:val="0"/>
          <w:sz w:val="24"/>
          <w:szCs w:val="24"/>
        </w:rPr>
        <w:t>,</w:t>
      </w:r>
      <w:r w:rsidR="006B76EE">
        <w:rPr>
          <w:rFonts w:ascii="Garamond" w:hAnsi="Garamond"/>
          <w:bCs/>
          <w:snapToGrid w:val="0"/>
          <w:sz w:val="24"/>
          <w:szCs w:val="24"/>
        </w:rPr>
        <w:t xml:space="preserve"> that dispute arose out of </w:t>
      </w:r>
      <w:r w:rsidR="00050D1C">
        <w:rPr>
          <w:rFonts w:ascii="Garamond" w:hAnsi="Garamond"/>
          <w:bCs/>
          <w:snapToGrid w:val="0"/>
          <w:sz w:val="24"/>
          <w:szCs w:val="24"/>
        </w:rPr>
        <w:t>a dispute</w:t>
      </w:r>
      <w:r w:rsidR="006B76EE">
        <w:rPr>
          <w:rFonts w:ascii="Garamond" w:hAnsi="Garamond"/>
          <w:bCs/>
          <w:snapToGrid w:val="0"/>
          <w:sz w:val="24"/>
          <w:szCs w:val="24"/>
        </w:rPr>
        <w:t xml:space="preserve"> between the </w:t>
      </w:r>
      <w:r w:rsidR="006B76EE">
        <w:rPr>
          <w:rFonts w:ascii="Garamond" w:hAnsi="Garamond"/>
          <w:bCs/>
          <w:snapToGrid w:val="0"/>
          <w:sz w:val="24"/>
          <w:szCs w:val="24"/>
        </w:rPr>
        <w:lastRenderedPageBreak/>
        <w:t xml:space="preserve">Allisons and </w:t>
      </w:r>
      <w:r w:rsidR="00050D1C">
        <w:rPr>
          <w:rFonts w:ascii="Garamond" w:hAnsi="Garamond"/>
          <w:bCs/>
          <w:snapToGrid w:val="0"/>
          <w:sz w:val="24"/>
          <w:szCs w:val="24"/>
        </w:rPr>
        <w:t xml:space="preserve">their </w:t>
      </w:r>
      <w:r w:rsidR="00463E6B">
        <w:rPr>
          <w:rFonts w:ascii="Garamond" w:hAnsi="Garamond"/>
          <w:bCs/>
          <w:snapToGrid w:val="0"/>
          <w:sz w:val="24"/>
          <w:szCs w:val="24"/>
        </w:rPr>
        <w:t>stepmother</w:t>
      </w:r>
      <w:r w:rsidR="00050D1C">
        <w:rPr>
          <w:rFonts w:ascii="Garamond" w:hAnsi="Garamond"/>
          <w:bCs/>
          <w:snapToGrid w:val="0"/>
          <w:sz w:val="24"/>
          <w:szCs w:val="24"/>
        </w:rPr>
        <w:t xml:space="preserve"> Robin Allison </w:t>
      </w:r>
      <w:r w:rsidR="002C2324">
        <w:rPr>
          <w:rFonts w:ascii="Garamond" w:hAnsi="Garamond"/>
          <w:bCs/>
          <w:snapToGrid w:val="0"/>
          <w:sz w:val="24"/>
          <w:szCs w:val="24"/>
        </w:rPr>
        <w:t>involving the estate of their father</w:t>
      </w:r>
      <w:r w:rsidR="00030CA2">
        <w:rPr>
          <w:rFonts w:ascii="Garamond" w:hAnsi="Garamond"/>
          <w:bCs/>
          <w:snapToGrid w:val="0"/>
          <w:sz w:val="24"/>
          <w:szCs w:val="24"/>
        </w:rPr>
        <w:t>, Dr. Richard Allison,</w:t>
      </w:r>
      <w:r w:rsidR="002C2324">
        <w:rPr>
          <w:rFonts w:ascii="Garamond" w:hAnsi="Garamond"/>
          <w:bCs/>
          <w:snapToGrid w:val="0"/>
          <w:sz w:val="24"/>
          <w:szCs w:val="24"/>
        </w:rPr>
        <w:t xml:space="preserve"> and the distribution of assets from various trusts</w:t>
      </w:r>
      <w:r w:rsidR="00030CA2">
        <w:rPr>
          <w:rFonts w:ascii="Garamond" w:hAnsi="Garamond"/>
          <w:bCs/>
          <w:snapToGrid w:val="0"/>
          <w:sz w:val="24"/>
          <w:szCs w:val="24"/>
        </w:rPr>
        <w:t xml:space="preserve"> (“the estate litigation”)</w:t>
      </w:r>
      <w:r w:rsidR="002C2324">
        <w:rPr>
          <w:rFonts w:ascii="Garamond" w:hAnsi="Garamond"/>
          <w:bCs/>
          <w:snapToGrid w:val="0"/>
          <w:sz w:val="24"/>
          <w:szCs w:val="24"/>
        </w:rPr>
        <w:t xml:space="preserve">. </w:t>
      </w:r>
    </w:p>
    <w:p w14:paraId="58C7F965" w14:textId="5DF61E14" w:rsidR="00E65C63" w:rsidRDefault="00463E6B" w:rsidP="00A32B57">
      <w:pPr>
        <w:spacing w:line="480" w:lineRule="auto"/>
        <w:ind w:firstLine="720"/>
        <w:jc w:val="both"/>
        <w:rPr>
          <w:rFonts w:ascii="Garamond" w:hAnsi="Garamond"/>
          <w:bCs/>
          <w:snapToGrid w:val="0"/>
          <w:sz w:val="24"/>
          <w:szCs w:val="24"/>
        </w:rPr>
      </w:pPr>
      <w:r>
        <w:rPr>
          <w:rFonts w:ascii="Garamond" w:hAnsi="Garamond"/>
          <w:bCs/>
          <w:snapToGrid w:val="0"/>
          <w:sz w:val="24"/>
          <w:szCs w:val="24"/>
        </w:rPr>
        <w:t xml:space="preserve">Robin was represented in the estate litigation by Michael Collins and his business partner Steven Besly. </w:t>
      </w:r>
      <w:r w:rsidR="00FA4DA4">
        <w:rPr>
          <w:rFonts w:ascii="Garamond" w:hAnsi="Garamond"/>
          <w:bCs/>
          <w:snapToGrid w:val="0"/>
          <w:sz w:val="24"/>
          <w:szCs w:val="24"/>
        </w:rPr>
        <w:t>The Allisons were represented in the estate litigation by the Lawyers. During that litigation</w:t>
      </w:r>
      <w:r w:rsidR="00146269">
        <w:rPr>
          <w:rFonts w:ascii="Garamond" w:hAnsi="Garamond"/>
          <w:bCs/>
          <w:snapToGrid w:val="0"/>
          <w:sz w:val="24"/>
          <w:szCs w:val="24"/>
        </w:rPr>
        <w:t>, the Lawyers pressured the Allisons into signing a mediated settlement agreement</w:t>
      </w:r>
      <w:r w:rsidR="00B4100B">
        <w:rPr>
          <w:rFonts w:ascii="Garamond" w:hAnsi="Garamond"/>
          <w:bCs/>
          <w:snapToGrid w:val="0"/>
          <w:sz w:val="24"/>
          <w:szCs w:val="24"/>
        </w:rPr>
        <w:t xml:space="preserve"> after midnight on a full day of mediation based on untrue promises regarding the agreement</w:t>
      </w:r>
      <w:r w:rsidR="00146269">
        <w:rPr>
          <w:rFonts w:ascii="Garamond" w:hAnsi="Garamond"/>
          <w:bCs/>
          <w:snapToGrid w:val="0"/>
          <w:sz w:val="24"/>
          <w:szCs w:val="24"/>
        </w:rPr>
        <w:t xml:space="preserve">, but the Allisons withdrew their consent the following day. </w:t>
      </w:r>
      <w:r w:rsidR="000C61E3">
        <w:rPr>
          <w:rFonts w:ascii="Garamond" w:hAnsi="Garamond"/>
          <w:bCs/>
          <w:snapToGrid w:val="0"/>
          <w:sz w:val="24"/>
          <w:szCs w:val="24"/>
        </w:rPr>
        <w:t xml:space="preserve">Collins sought </w:t>
      </w:r>
      <w:r w:rsidR="00EC72B5">
        <w:rPr>
          <w:rFonts w:ascii="Garamond" w:hAnsi="Garamond"/>
          <w:bCs/>
          <w:snapToGrid w:val="0"/>
          <w:sz w:val="24"/>
          <w:szCs w:val="24"/>
        </w:rPr>
        <w:t xml:space="preserve">contempt orders </w:t>
      </w:r>
      <w:r w:rsidR="000F4EFD">
        <w:rPr>
          <w:rFonts w:ascii="Garamond" w:hAnsi="Garamond"/>
          <w:bCs/>
          <w:snapToGrid w:val="0"/>
          <w:sz w:val="24"/>
          <w:szCs w:val="24"/>
        </w:rPr>
        <w:t xml:space="preserve">and sanctions </w:t>
      </w:r>
      <w:r w:rsidR="00EC72B5">
        <w:rPr>
          <w:rFonts w:ascii="Garamond" w:hAnsi="Garamond"/>
          <w:bCs/>
          <w:snapToGrid w:val="0"/>
          <w:sz w:val="24"/>
          <w:szCs w:val="24"/>
        </w:rPr>
        <w:t xml:space="preserve">against the Allisions after </w:t>
      </w:r>
      <w:r w:rsidR="007D2EBC">
        <w:rPr>
          <w:rFonts w:ascii="Garamond" w:hAnsi="Garamond"/>
          <w:bCs/>
          <w:snapToGrid w:val="0"/>
          <w:sz w:val="24"/>
          <w:szCs w:val="24"/>
        </w:rPr>
        <w:t>they</w:t>
      </w:r>
      <w:r w:rsidR="00EC72B5">
        <w:rPr>
          <w:rFonts w:ascii="Garamond" w:hAnsi="Garamond"/>
          <w:bCs/>
          <w:snapToGrid w:val="0"/>
          <w:sz w:val="24"/>
          <w:szCs w:val="24"/>
        </w:rPr>
        <w:t xml:space="preserve"> refused to effectuate </w:t>
      </w:r>
      <w:r w:rsidR="001E5EEE">
        <w:rPr>
          <w:rFonts w:ascii="Garamond" w:hAnsi="Garamond"/>
          <w:bCs/>
          <w:snapToGrid w:val="0"/>
          <w:sz w:val="24"/>
          <w:szCs w:val="24"/>
        </w:rPr>
        <w:t>the</w:t>
      </w:r>
      <w:r w:rsidR="005E7981">
        <w:rPr>
          <w:rFonts w:ascii="Garamond" w:hAnsi="Garamond"/>
          <w:bCs/>
          <w:snapToGrid w:val="0"/>
          <w:sz w:val="24"/>
          <w:szCs w:val="24"/>
        </w:rPr>
        <w:t xml:space="preserve"> mediated</w:t>
      </w:r>
      <w:r w:rsidR="00EC72B5">
        <w:rPr>
          <w:rFonts w:ascii="Garamond" w:hAnsi="Garamond"/>
          <w:bCs/>
          <w:snapToGrid w:val="0"/>
          <w:sz w:val="24"/>
          <w:szCs w:val="24"/>
        </w:rPr>
        <w:t xml:space="preserve"> settlement agreement.</w:t>
      </w:r>
      <w:r w:rsidR="000C61E3">
        <w:rPr>
          <w:rFonts w:ascii="Garamond" w:hAnsi="Garamond"/>
          <w:bCs/>
          <w:snapToGrid w:val="0"/>
          <w:sz w:val="24"/>
          <w:szCs w:val="24"/>
        </w:rPr>
        <w:t xml:space="preserve"> </w:t>
      </w:r>
      <w:r w:rsidR="007D2EBC">
        <w:rPr>
          <w:rFonts w:ascii="Garamond" w:hAnsi="Garamond"/>
          <w:bCs/>
          <w:snapToGrid w:val="0"/>
          <w:sz w:val="24"/>
          <w:szCs w:val="24"/>
        </w:rPr>
        <w:t xml:space="preserve">Eventually the trial court in the estate litigation enforced the mediated settlement agreement and the Lawyers claimed the Allisons received a recovery of approximately $10 million, </w:t>
      </w:r>
      <w:r w:rsidR="000A6302">
        <w:rPr>
          <w:rFonts w:ascii="Garamond" w:hAnsi="Garamond"/>
          <w:bCs/>
          <w:snapToGrid w:val="0"/>
          <w:sz w:val="24"/>
          <w:szCs w:val="24"/>
        </w:rPr>
        <w:t xml:space="preserve">from </w:t>
      </w:r>
      <w:r w:rsidR="007D2EBC">
        <w:rPr>
          <w:rFonts w:ascii="Garamond" w:hAnsi="Garamond"/>
          <w:bCs/>
          <w:snapToGrid w:val="0"/>
          <w:sz w:val="24"/>
          <w:szCs w:val="24"/>
        </w:rPr>
        <w:t xml:space="preserve">which the Lawyers claimed </w:t>
      </w:r>
      <w:r w:rsidR="00A32B57">
        <w:rPr>
          <w:rFonts w:ascii="Garamond" w:hAnsi="Garamond"/>
          <w:bCs/>
          <w:snapToGrid w:val="0"/>
          <w:sz w:val="24"/>
          <w:szCs w:val="24"/>
        </w:rPr>
        <w:t xml:space="preserve">they were owed a contingency fee. </w:t>
      </w:r>
      <w:r w:rsidR="005E7981">
        <w:rPr>
          <w:rFonts w:ascii="Garamond" w:hAnsi="Garamond"/>
          <w:bCs/>
          <w:snapToGrid w:val="0"/>
          <w:sz w:val="24"/>
          <w:szCs w:val="24"/>
        </w:rPr>
        <w:t xml:space="preserve">When the Allisons </w:t>
      </w:r>
      <w:r w:rsidR="00F93DA5">
        <w:rPr>
          <w:rFonts w:ascii="Garamond" w:hAnsi="Garamond"/>
          <w:bCs/>
          <w:snapToGrid w:val="0"/>
          <w:sz w:val="24"/>
          <w:szCs w:val="24"/>
        </w:rPr>
        <w:t>refused to pay the contingency fee</w:t>
      </w:r>
      <w:r w:rsidR="005E7981">
        <w:rPr>
          <w:rFonts w:ascii="Garamond" w:hAnsi="Garamond"/>
          <w:bCs/>
          <w:snapToGrid w:val="0"/>
          <w:sz w:val="24"/>
          <w:szCs w:val="24"/>
        </w:rPr>
        <w:t>, the</w:t>
      </w:r>
      <w:r w:rsidR="00F93DA5">
        <w:rPr>
          <w:rFonts w:ascii="Garamond" w:hAnsi="Garamond"/>
          <w:bCs/>
          <w:snapToGrid w:val="0"/>
          <w:sz w:val="24"/>
          <w:szCs w:val="24"/>
        </w:rPr>
        <w:t xml:space="preserve"> Lawyers</w:t>
      </w:r>
      <w:r w:rsidR="005E7981">
        <w:rPr>
          <w:rFonts w:ascii="Garamond" w:hAnsi="Garamond"/>
          <w:bCs/>
          <w:snapToGrid w:val="0"/>
          <w:sz w:val="24"/>
          <w:szCs w:val="24"/>
        </w:rPr>
        <w:t xml:space="preserve"> sued the Allisons</w:t>
      </w:r>
      <w:r w:rsidR="00F93DA5">
        <w:rPr>
          <w:rFonts w:ascii="Garamond" w:hAnsi="Garamond"/>
          <w:bCs/>
          <w:snapToGrid w:val="0"/>
          <w:sz w:val="24"/>
          <w:szCs w:val="24"/>
        </w:rPr>
        <w:t xml:space="preserve"> for their fee</w:t>
      </w:r>
      <w:r w:rsidR="005E7981">
        <w:rPr>
          <w:rFonts w:ascii="Garamond" w:hAnsi="Garamond"/>
          <w:bCs/>
          <w:snapToGrid w:val="0"/>
          <w:sz w:val="24"/>
          <w:szCs w:val="24"/>
        </w:rPr>
        <w:t xml:space="preserve"> and </w:t>
      </w:r>
      <w:r w:rsidR="00A32B57">
        <w:rPr>
          <w:rFonts w:ascii="Garamond" w:hAnsi="Garamond"/>
          <w:bCs/>
          <w:snapToGrid w:val="0"/>
          <w:sz w:val="24"/>
          <w:szCs w:val="24"/>
        </w:rPr>
        <w:t>Caroline Allison filed claims against the Lawyers</w:t>
      </w:r>
      <w:r w:rsidR="00F93DA5">
        <w:rPr>
          <w:rFonts w:ascii="Garamond" w:hAnsi="Garamond"/>
          <w:bCs/>
          <w:snapToGrid w:val="0"/>
          <w:sz w:val="24"/>
          <w:szCs w:val="24"/>
        </w:rPr>
        <w:t xml:space="preserve"> for malpractice and violation of fiduciary duties</w:t>
      </w:r>
      <w:r w:rsidR="000A6302">
        <w:rPr>
          <w:rFonts w:ascii="Garamond" w:hAnsi="Garamond"/>
          <w:bCs/>
          <w:snapToGrid w:val="0"/>
          <w:sz w:val="24"/>
          <w:szCs w:val="24"/>
        </w:rPr>
        <w:t xml:space="preserve"> in the 269</w:t>
      </w:r>
      <w:r w:rsidR="000A6302" w:rsidRPr="00EC008B">
        <w:rPr>
          <w:rFonts w:ascii="Garamond" w:hAnsi="Garamond"/>
          <w:bCs/>
          <w:snapToGrid w:val="0"/>
          <w:sz w:val="24"/>
          <w:szCs w:val="24"/>
          <w:vertAlign w:val="superscript"/>
        </w:rPr>
        <w:t>th</w:t>
      </w:r>
      <w:r w:rsidR="000A6302">
        <w:rPr>
          <w:rFonts w:ascii="Garamond" w:hAnsi="Garamond"/>
          <w:bCs/>
          <w:snapToGrid w:val="0"/>
          <w:sz w:val="24"/>
          <w:szCs w:val="24"/>
        </w:rPr>
        <w:t xml:space="preserve"> Judicial District Court of Harris County, Texas</w:t>
      </w:r>
      <w:r w:rsidR="00A32B57">
        <w:rPr>
          <w:rFonts w:ascii="Garamond" w:hAnsi="Garamond"/>
          <w:bCs/>
          <w:snapToGrid w:val="0"/>
          <w:sz w:val="24"/>
          <w:szCs w:val="24"/>
        </w:rPr>
        <w:t xml:space="preserve">. </w:t>
      </w:r>
      <w:r w:rsidR="00E554DF">
        <w:rPr>
          <w:rFonts w:ascii="Garamond" w:hAnsi="Garamond"/>
          <w:bCs/>
          <w:snapToGrid w:val="0"/>
          <w:sz w:val="24"/>
          <w:szCs w:val="24"/>
        </w:rPr>
        <w:t>Th</w:t>
      </w:r>
      <w:r w:rsidR="00A32B57">
        <w:rPr>
          <w:rFonts w:ascii="Garamond" w:hAnsi="Garamond"/>
          <w:bCs/>
          <w:snapToGrid w:val="0"/>
          <w:sz w:val="24"/>
          <w:szCs w:val="24"/>
        </w:rPr>
        <w:t>e trial court compelled</w:t>
      </w:r>
      <w:r w:rsidR="00E554DF">
        <w:rPr>
          <w:rFonts w:ascii="Garamond" w:hAnsi="Garamond"/>
          <w:bCs/>
          <w:snapToGrid w:val="0"/>
          <w:sz w:val="24"/>
          <w:szCs w:val="24"/>
        </w:rPr>
        <w:t xml:space="preserve"> </w:t>
      </w:r>
      <w:r w:rsidR="00030CA2">
        <w:rPr>
          <w:rFonts w:ascii="Garamond" w:hAnsi="Garamond"/>
          <w:bCs/>
          <w:snapToGrid w:val="0"/>
          <w:sz w:val="24"/>
          <w:szCs w:val="24"/>
        </w:rPr>
        <w:t xml:space="preserve">her </w:t>
      </w:r>
      <w:r w:rsidR="00881AFA">
        <w:rPr>
          <w:rFonts w:ascii="Garamond" w:hAnsi="Garamond"/>
          <w:bCs/>
          <w:snapToGrid w:val="0"/>
          <w:sz w:val="24"/>
          <w:szCs w:val="24"/>
        </w:rPr>
        <w:t xml:space="preserve">case to arbitration and </w:t>
      </w:r>
      <w:r w:rsidR="00030CA2">
        <w:rPr>
          <w:rFonts w:ascii="Garamond" w:hAnsi="Garamond"/>
          <w:bCs/>
          <w:snapToGrid w:val="0"/>
          <w:sz w:val="24"/>
          <w:szCs w:val="24"/>
        </w:rPr>
        <w:t xml:space="preserve">those claims and </w:t>
      </w:r>
      <w:r w:rsidR="00881AFA">
        <w:rPr>
          <w:rFonts w:ascii="Garamond" w:hAnsi="Garamond"/>
          <w:bCs/>
          <w:snapToGrid w:val="0"/>
          <w:sz w:val="24"/>
          <w:szCs w:val="24"/>
        </w:rPr>
        <w:t>the Lawyers</w:t>
      </w:r>
      <w:r w:rsidR="00030CA2">
        <w:rPr>
          <w:rFonts w:ascii="Garamond" w:hAnsi="Garamond"/>
          <w:bCs/>
          <w:snapToGrid w:val="0"/>
          <w:sz w:val="24"/>
          <w:szCs w:val="24"/>
        </w:rPr>
        <w:t>’</w:t>
      </w:r>
      <w:r w:rsidR="00881AFA">
        <w:rPr>
          <w:rFonts w:ascii="Garamond" w:hAnsi="Garamond"/>
          <w:bCs/>
          <w:snapToGrid w:val="0"/>
          <w:sz w:val="24"/>
          <w:szCs w:val="24"/>
        </w:rPr>
        <w:t xml:space="preserve"> claims against </w:t>
      </w:r>
      <w:r w:rsidR="00030CA2">
        <w:rPr>
          <w:rFonts w:ascii="Garamond" w:hAnsi="Garamond"/>
          <w:bCs/>
          <w:snapToGrid w:val="0"/>
          <w:sz w:val="24"/>
          <w:szCs w:val="24"/>
        </w:rPr>
        <w:t xml:space="preserve">Richard Allison </w:t>
      </w:r>
      <w:r w:rsidR="00881AFA">
        <w:rPr>
          <w:rFonts w:ascii="Garamond" w:hAnsi="Garamond"/>
          <w:bCs/>
          <w:snapToGrid w:val="0"/>
          <w:sz w:val="24"/>
          <w:szCs w:val="24"/>
        </w:rPr>
        <w:t>were consolidated into a single arbitration proceeding</w:t>
      </w:r>
      <w:r w:rsidR="001E5EEE">
        <w:rPr>
          <w:rFonts w:ascii="Garamond" w:hAnsi="Garamond"/>
          <w:bCs/>
          <w:snapToGrid w:val="0"/>
          <w:sz w:val="24"/>
          <w:szCs w:val="24"/>
        </w:rPr>
        <w:t xml:space="preserve"> over the Allison’s objections</w:t>
      </w:r>
      <w:r w:rsidR="00881AFA">
        <w:rPr>
          <w:rFonts w:ascii="Garamond" w:hAnsi="Garamond"/>
          <w:bCs/>
          <w:snapToGrid w:val="0"/>
          <w:sz w:val="24"/>
          <w:szCs w:val="24"/>
        </w:rPr>
        <w:t xml:space="preserve">. </w:t>
      </w:r>
    </w:p>
    <w:p w14:paraId="0664270D" w14:textId="0793C561" w:rsidR="0055157E" w:rsidRDefault="00881AFA" w:rsidP="007D5A3F">
      <w:pPr>
        <w:spacing w:line="480" w:lineRule="auto"/>
        <w:jc w:val="both"/>
        <w:rPr>
          <w:rFonts w:ascii="Garamond" w:hAnsi="Garamond"/>
          <w:bCs/>
          <w:snapToGrid w:val="0"/>
          <w:sz w:val="24"/>
          <w:szCs w:val="24"/>
        </w:rPr>
      </w:pPr>
      <w:r>
        <w:rPr>
          <w:rFonts w:ascii="Garamond" w:hAnsi="Garamond"/>
          <w:bCs/>
          <w:snapToGrid w:val="0"/>
          <w:sz w:val="24"/>
          <w:szCs w:val="24"/>
        </w:rPr>
        <w:tab/>
      </w:r>
      <w:r w:rsidR="000A6302">
        <w:rPr>
          <w:rFonts w:ascii="Garamond" w:hAnsi="Garamond"/>
          <w:bCs/>
          <w:snapToGrid w:val="0"/>
          <w:sz w:val="24"/>
          <w:szCs w:val="24"/>
        </w:rPr>
        <w:t xml:space="preserve">Retired </w:t>
      </w:r>
      <w:r w:rsidR="001E5EEE">
        <w:rPr>
          <w:rFonts w:ascii="Garamond" w:hAnsi="Garamond"/>
          <w:bCs/>
          <w:snapToGrid w:val="0"/>
          <w:sz w:val="24"/>
          <w:szCs w:val="24"/>
        </w:rPr>
        <w:t>J</w:t>
      </w:r>
      <w:r w:rsidR="000A6302">
        <w:rPr>
          <w:rFonts w:ascii="Garamond" w:hAnsi="Garamond"/>
          <w:bCs/>
          <w:snapToGrid w:val="0"/>
          <w:sz w:val="24"/>
          <w:szCs w:val="24"/>
        </w:rPr>
        <w:t>udge</w:t>
      </w:r>
      <w:r w:rsidR="001E5EEE">
        <w:rPr>
          <w:rFonts w:ascii="Garamond" w:hAnsi="Garamond"/>
          <w:bCs/>
          <w:snapToGrid w:val="0"/>
          <w:sz w:val="24"/>
          <w:szCs w:val="24"/>
        </w:rPr>
        <w:t>,</w:t>
      </w:r>
      <w:r w:rsidR="000A6302">
        <w:rPr>
          <w:rFonts w:ascii="Garamond" w:hAnsi="Garamond"/>
          <w:bCs/>
          <w:snapToGrid w:val="0"/>
          <w:sz w:val="24"/>
          <w:szCs w:val="24"/>
        </w:rPr>
        <w:t xml:space="preserve"> </w:t>
      </w:r>
      <w:r w:rsidR="00E554DF">
        <w:rPr>
          <w:rFonts w:ascii="Garamond" w:hAnsi="Garamond"/>
          <w:bCs/>
          <w:snapToGrid w:val="0"/>
          <w:sz w:val="24"/>
          <w:szCs w:val="24"/>
        </w:rPr>
        <w:t xml:space="preserve">Anne Ashby was invited </w:t>
      </w:r>
      <w:r w:rsidR="000A6302">
        <w:rPr>
          <w:rFonts w:ascii="Garamond" w:hAnsi="Garamond"/>
          <w:bCs/>
          <w:snapToGrid w:val="0"/>
          <w:sz w:val="24"/>
          <w:szCs w:val="24"/>
        </w:rPr>
        <w:t xml:space="preserve">by the AAA </w:t>
      </w:r>
      <w:r w:rsidR="00E554DF">
        <w:rPr>
          <w:rFonts w:ascii="Garamond" w:hAnsi="Garamond"/>
          <w:bCs/>
          <w:snapToGrid w:val="0"/>
          <w:sz w:val="24"/>
          <w:szCs w:val="24"/>
        </w:rPr>
        <w:t>to serve as arbitrator</w:t>
      </w:r>
      <w:r w:rsidR="00544BD1">
        <w:rPr>
          <w:rFonts w:ascii="Garamond" w:hAnsi="Garamond"/>
          <w:bCs/>
          <w:snapToGrid w:val="0"/>
          <w:sz w:val="24"/>
          <w:szCs w:val="24"/>
        </w:rPr>
        <w:t xml:space="preserve"> and provided initial disclosures to the parties. In response to the question of whether she had any </w:t>
      </w:r>
      <w:r w:rsidR="002E6C29">
        <w:rPr>
          <w:rFonts w:ascii="Garamond" w:hAnsi="Garamond"/>
          <w:bCs/>
          <w:snapToGrid w:val="0"/>
          <w:sz w:val="24"/>
          <w:szCs w:val="24"/>
        </w:rPr>
        <w:t>professional relationship with any of the witnesses, Ashby stated “no.”</w:t>
      </w:r>
      <w:r w:rsidR="00587F71">
        <w:rPr>
          <w:rStyle w:val="FootnoteReference"/>
          <w:rFonts w:ascii="Garamond" w:hAnsi="Garamond"/>
          <w:bCs/>
          <w:snapToGrid w:val="0"/>
          <w:sz w:val="24"/>
          <w:szCs w:val="24"/>
        </w:rPr>
        <w:footnoteReference w:id="2"/>
      </w:r>
      <w:r w:rsidR="00E5581B">
        <w:rPr>
          <w:rFonts w:ascii="Garamond" w:hAnsi="Garamond"/>
          <w:bCs/>
          <w:snapToGrid w:val="0"/>
          <w:sz w:val="24"/>
          <w:szCs w:val="24"/>
        </w:rPr>
        <w:t xml:space="preserve"> Subsequently, </w:t>
      </w:r>
      <w:r w:rsidR="001655D8">
        <w:rPr>
          <w:rFonts w:ascii="Garamond" w:hAnsi="Garamond"/>
          <w:bCs/>
          <w:snapToGrid w:val="0"/>
          <w:sz w:val="24"/>
          <w:szCs w:val="24"/>
        </w:rPr>
        <w:t xml:space="preserve">in December 2022, </w:t>
      </w:r>
      <w:r w:rsidR="00E5581B">
        <w:rPr>
          <w:rFonts w:ascii="Garamond" w:hAnsi="Garamond"/>
          <w:bCs/>
          <w:snapToGrid w:val="0"/>
          <w:sz w:val="24"/>
          <w:szCs w:val="24"/>
        </w:rPr>
        <w:t xml:space="preserve">Ashby received the Lawyers answering statement which identified </w:t>
      </w:r>
      <w:r w:rsidR="0082601F">
        <w:rPr>
          <w:rFonts w:ascii="Garamond" w:hAnsi="Garamond"/>
          <w:bCs/>
          <w:snapToGrid w:val="0"/>
          <w:sz w:val="24"/>
          <w:szCs w:val="24"/>
        </w:rPr>
        <w:t xml:space="preserve">Collins </w:t>
      </w:r>
      <w:r w:rsidR="0005777D">
        <w:rPr>
          <w:rFonts w:ascii="Garamond" w:hAnsi="Garamond"/>
          <w:bCs/>
          <w:snapToGrid w:val="0"/>
          <w:sz w:val="24"/>
          <w:szCs w:val="24"/>
        </w:rPr>
        <w:t xml:space="preserve">and his law firm </w:t>
      </w:r>
      <w:r w:rsidR="0082601F">
        <w:rPr>
          <w:rFonts w:ascii="Garamond" w:hAnsi="Garamond"/>
          <w:bCs/>
          <w:snapToGrid w:val="0"/>
          <w:sz w:val="24"/>
          <w:szCs w:val="24"/>
        </w:rPr>
        <w:t>as Robin’s counsel</w:t>
      </w:r>
      <w:r w:rsidR="0022114C">
        <w:rPr>
          <w:rFonts w:ascii="Garamond" w:hAnsi="Garamond"/>
          <w:bCs/>
          <w:snapToGrid w:val="0"/>
          <w:sz w:val="24"/>
          <w:szCs w:val="24"/>
        </w:rPr>
        <w:t>.</w:t>
      </w:r>
      <w:r w:rsidR="0005777D">
        <w:rPr>
          <w:rStyle w:val="FootnoteReference"/>
          <w:rFonts w:ascii="Garamond" w:hAnsi="Garamond"/>
          <w:bCs/>
          <w:snapToGrid w:val="0"/>
          <w:sz w:val="24"/>
          <w:szCs w:val="24"/>
        </w:rPr>
        <w:footnoteReference w:id="3"/>
      </w:r>
      <w:r w:rsidR="0082601F">
        <w:rPr>
          <w:rFonts w:ascii="Garamond" w:hAnsi="Garamond"/>
          <w:bCs/>
          <w:snapToGrid w:val="0"/>
          <w:sz w:val="24"/>
          <w:szCs w:val="24"/>
        </w:rPr>
        <w:t xml:space="preserve"> </w:t>
      </w:r>
      <w:r w:rsidR="0022114C">
        <w:rPr>
          <w:rFonts w:ascii="Garamond" w:hAnsi="Garamond"/>
          <w:bCs/>
          <w:snapToGrid w:val="0"/>
          <w:sz w:val="24"/>
          <w:szCs w:val="24"/>
        </w:rPr>
        <w:t>In that answering statement, the Lawyers disclosed how Collins was adverse to the Allisons and how the Allisons were required to pay sanctions to Collins</w:t>
      </w:r>
      <w:r w:rsidR="00042485">
        <w:rPr>
          <w:rFonts w:ascii="Garamond" w:hAnsi="Garamond"/>
          <w:bCs/>
          <w:snapToGrid w:val="0"/>
          <w:sz w:val="24"/>
          <w:szCs w:val="24"/>
        </w:rPr>
        <w:t xml:space="preserve"> of “The Collins Law Group</w:t>
      </w:r>
      <w:r w:rsidR="0022114C">
        <w:rPr>
          <w:rFonts w:ascii="Garamond" w:hAnsi="Garamond"/>
          <w:bCs/>
          <w:snapToGrid w:val="0"/>
          <w:sz w:val="24"/>
          <w:szCs w:val="24"/>
        </w:rPr>
        <w:t>.</w:t>
      </w:r>
      <w:r w:rsidR="00042485">
        <w:rPr>
          <w:rFonts w:ascii="Garamond" w:hAnsi="Garamond"/>
          <w:bCs/>
          <w:snapToGrid w:val="0"/>
          <w:sz w:val="24"/>
          <w:szCs w:val="24"/>
        </w:rPr>
        <w:t>”</w:t>
      </w:r>
      <w:r w:rsidR="0022114C">
        <w:rPr>
          <w:rStyle w:val="FootnoteReference"/>
          <w:rFonts w:ascii="Garamond" w:hAnsi="Garamond"/>
          <w:bCs/>
          <w:snapToGrid w:val="0"/>
          <w:sz w:val="24"/>
          <w:szCs w:val="24"/>
        </w:rPr>
        <w:footnoteReference w:id="4"/>
      </w:r>
      <w:r w:rsidR="00410A78">
        <w:rPr>
          <w:rFonts w:ascii="Garamond" w:hAnsi="Garamond"/>
          <w:bCs/>
          <w:snapToGrid w:val="0"/>
          <w:sz w:val="24"/>
          <w:szCs w:val="24"/>
        </w:rPr>
        <w:t xml:space="preserve"> </w:t>
      </w:r>
      <w:r w:rsidR="001A713D">
        <w:rPr>
          <w:rFonts w:ascii="Garamond" w:hAnsi="Garamond"/>
          <w:bCs/>
          <w:snapToGrid w:val="0"/>
          <w:sz w:val="24"/>
          <w:szCs w:val="24"/>
        </w:rPr>
        <w:t xml:space="preserve">The Lawyers also </w:t>
      </w:r>
      <w:r w:rsidR="001A713D">
        <w:rPr>
          <w:rFonts w:ascii="Garamond" w:hAnsi="Garamond"/>
          <w:bCs/>
          <w:snapToGrid w:val="0"/>
          <w:sz w:val="24"/>
          <w:szCs w:val="24"/>
        </w:rPr>
        <w:lastRenderedPageBreak/>
        <w:t>retained attorney Keith Staubus</w:t>
      </w:r>
      <w:r w:rsidR="00E65C63">
        <w:rPr>
          <w:rFonts w:ascii="Garamond" w:hAnsi="Garamond"/>
          <w:bCs/>
          <w:snapToGrid w:val="0"/>
          <w:sz w:val="24"/>
          <w:szCs w:val="24"/>
        </w:rPr>
        <w:t xml:space="preserve"> to act as an expert witness in the arbitration. </w:t>
      </w:r>
      <w:r w:rsidR="002E7D95">
        <w:rPr>
          <w:rFonts w:ascii="Garamond" w:hAnsi="Garamond"/>
          <w:bCs/>
          <w:snapToGrid w:val="0"/>
          <w:sz w:val="24"/>
          <w:szCs w:val="24"/>
        </w:rPr>
        <w:t>The Lawyer</w:t>
      </w:r>
      <w:r w:rsidR="001E5EEE">
        <w:rPr>
          <w:rFonts w:ascii="Garamond" w:hAnsi="Garamond"/>
          <w:bCs/>
          <w:snapToGrid w:val="0"/>
          <w:sz w:val="24"/>
          <w:szCs w:val="24"/>
        </w:rPr>
        <w:t>s</w:t>
      </w:r>
      <w:r w:rsidR="002E7D95">
        <w:rPr>
          <w:rFonts w:ascii="Garamond" w:hAnsi="Garamond"/>
          <w:bCs/>
          <w:snapToGrid w:val="0"/>
          <w:sz w:val="24"/>
          <w:szCs w:val="24"/>
        </w:rPr>
        <w:t xml:space="preserve"> identified Collins and Staubus </w:t>
      </w:r>
      <w:r w:rsidR="00E475BE">
        <w:rPr>
          <w:rFonts w:ascii="Garamond" w:hAnsi="Garamond"/>
          <w:bCs/>
          <w:snapToGrid w:val="0"/>
          <w:sz w:val="24"/>
          <w:szCs w:val="24"/>
        </w:rPr>
        <w:t xml:space="preserve">as potential witnesses </w:t>
      </w:r>
      <w:r w:rsidR="002E7D95">
        <w:rPr>
          <w:rFonts w:ascii="Garamond" w:hAnsi="Garamond"/>
          <w:bCs/>
          <w:snapToGrid w:val="0"/>
          <w:sz w:val="24"/>
          <w:szCs w:val="24"/>
        </w:rPr>
        <w:t xml:space="preserve">on their </w:t>
      </w:r>
      <w:r w:rsidR="002A6923">
        <w:rPr>
          <w:rFonts w:ascii="Garamond" w:hAnsi="Garamond"/>
          <w:bCs/>
          <w:snapToGrid w:val="0"/>
          <w:sz w:val="24"/>
          <w:szCs w:val="24"/>
        </w:rPr>
        <w:t>witness disclosures.</w:t>
      </w:r>
      <w:r w:rsidR="002A6923">
        <w:rPr>
          <w:rStyle w:val="FootnoteReference"/>
          <w:rFonts w:ascii="Garamond" w:hAnsi="Garamond"/>
          <w:bCs/>
          <w:snapToGrid w:val="0"/>
          <w:sz w:val="24"/>
          <w:szCs w:val="24"/>
        </w:rPr>
        <w:footnoteReference w:id="5"/>
      </w:r>
    </w:p>
    <w:p w14:paraId="5579F2B6" w14:textId="42E2C396" w:rsidR="001A713D" w:rsidRDefault="00BB208F" w:rsidP="0055157E">
      <w:pPr>
        <w:spacing w:line="480" w:lineRule="auto"/>
        <w:ind w:firstLine="720"/>
        <w:jc w:val="both"/>
        <w:rPr>
          <w:rFonts w:ascii="Garamond" w:hAnsi="Garamond"/>
          <w:bCs/>
          <w:snapToGrid w:val="0"/>
          <w:sz w:val="24"/>
          <w:szCs w:val="24"/>
        </w:rPr>
      </w:pPr>
      <w:r>
        <w:rPr>
          <w:rFonts w:ascii="Garamond" w:hAnsi="Garamond"/>
          <w:bCs/>
          <w:snapToGrid w:val="0"/>
          <w:sz w:val="24"/>
          <w:szCs w:val="24"/>
        </w:rPr>
        <w:t xml:space="preserve">In June 2023, Ashby made </w:t>
      </w:r>
      <w:r w:rsidR="008B491A">
        <w:rPr>
          <w:rFonts w:ascii="Garamond" w:hAnsi="Garamond"/>
          <w:bCs/>
          <w:snapToGrid w:val="0"/>
          <w:sz w:val="24"/>
          <w:szCs w:val="24"/>
        </w:rPr>
        <w:t xml:space="preserve">a supplemental disclosure </w:t>
      </w:r>
      <w:r w:rsidR="00A16812">
        <w:rPr>
          <w:rFonts w:ascii="Garamond" w:hAnsi="Garamond"/>
          <w:bCs/>
          <w:snapToGrid w:val="0"/>
          <w:sz w:val="24"/>
          <w:szCs w:val="24"/>
        </w:rPr>
        <w:t>stating</w:t>
      </w:r>
      <w:r w:rsidR="008B491A">
        <w:rPr>
          <w:rFonts w:ascii="Garamond" w:hAnsi="Garamond"/>
          <w:bCs/>
          <w:snapToGrid w:val="0"/>
          <w:sz w:val="24"/>
          <w:szCs w:val="24"/>
        </w:rPr>
        <w:t xml:space="preserve"> she </w:t>
      </w:r>
      <w:r w:rsidR="001A713D">
        <w:rPr>
          <w:rFonts w:ascii="Garamond" w:hAnsi="Garamond"/>
          <w:bCs/>
          <w:snapToGrid w:val="0"/>
          <w:sz w:val="24"/>
          <w:szCs w:val="24"/>
        </w:rPr>
        <w:t>ha</w:t>
      </w:r>
      <w:r w:rsidR="00A16812">
        <w:rPr>
          <w:rFonts w:ascii="Garamond" w:hAnsi="Garamond"/>
          <w:bCs/>
          <w:snapToGrid w:val="0"/>
          <w:sz w:val="24"/>
          <w:szCs w:val="24"/>
        </w:rPr>
        <w:t>d</w:t>
      </w:r>
      <w:r w:rsidR="001A713D">
        <w:rPr>
          <w:rFonts w:ascii="Garamond" w:hAnsi="Garamond"/>
          <w:bCs/>
          <w:snapToGrid w:val="0"/>
          <w:sz w:val="24"/>
          <w:szCs w:val="24"/>
        </w:rPr>
        <w:t xml:space="preserve"> “known” Collins and Staubus but did not fully disclose how. Ashby stated</w:t>
      </w:r>
      <w:r w:rsidR="00F72BE5">
        <w:rPr>
          <w:rFonts w:ascii="Garamond" w:hAnsi="Garamond"/>
          <w:bCs/>
          <w:snapToGrid w:val="0"/>
          <w:sz w:val="24"/>
          <w:szCs w:val="24"/>
        </w:rPr>
        <w:t>:</w:t>
      </w:r>
    </w:p>
    <w:p w14:paraId="18F4903E" w14:textId="22C012A4" w:rsidR="00F72BE5" w:rsidRPr="00F72BE5" w:rsidRDefault="00F72BE5" w:rsidP="00F72BE5">
      <w:pPr>
        <w:ind w:left="720" w:right="720"/>
        <w:jc w:val="both"/>
        <w:rPr>
          <w:rFonts w:ascii="Garamond" w:hAnsi="Garamond"/>
          <w:bCs/>
          <w:snapToGrid w:val="0"/>
          <w:sz w:val="24"/>
          <w:szCs w:val="24"/>
        </w:rPr>
      </w:pPr>
      <w:r w:rsidRPr="00F72BE5">
        <w:rPr>
          <w:rFonts w:ascii="Garamond" w:hAnsi="Garamond"/>
          <w:bCs/>
          <w:snapToGrid w:val="0"/>
          <w:sz w:val="24"/>
          <w:szCs w:val="24"/>
        </w:rPr>
        <w:t>I have known Mr. Staubus and Mr. Collins. I practiced with Smith Underwood in 1986 for about 6 months.  I was</w:t>
      </w:r>
      <w:r>
        <w:rPr>
          <w:rFonts w:ascii="Garamond" w:hAnsi="Garamond"/>
          <w:bCs/>
          <w:snapToGrid w:val="0"/>
          <w:sz w:val="24"/>
          <w:szCs w:val="24"/>
        </w:rPr>
        <w:t xml:space="preserve"> </w:t>
      </w:r>
      <w:r w:rsidRPr="00F72BE5">
        <w:rPr>
          <w:rFonts w:ascii="Garamond" w:hAnsi="Garamond"/>
          <w:bCs/>
          <w:snapToGrid w:val="0"/>
          <w:sz w:val="24"/>
          <w:szCs w:val="24"/>
        </w:rPr>
        <w:t xml:space="preserve">then elected to County Court at Law in the fall of 1986 and took the Bench in January of 1987.  </w:t>
      </w:r>
    </w:p>
    <w:p w14:paraId="794E6A78" w14:textId="77777777" w:rsidR="00F72BE5" w:rsidRPr="00F72BE5" w:rsidRDefault="00F72BE5" w:rsidP="00F72BE5">
      <w:pPr>
        <w:ind w:right="720" w:firstLine="720"/>
        <w:jc w:val="both"/>
        <w:rPr>
          <w:rFonts w:ascii="Garamond" w:hAnsi="Garamond"/>
          <w:bCs/>
          <w:snapToGrid w:val="0"/>
          <w:sz w:val="24"/>
          <w:szCs w:val="24"/>
        </w:rPr>
      </w:pPr>
    </w:p>
    <w:p w14:paraId="466AF97A" w14:textId="3D97D0C1" w:rsidR="00F72BE5" w:rsidRDefault="00F72BE5" w:rsidP="00F72BE5">
      <w:pPr>
        <w:ind w:right="720" w:firstLine="720"/>
        <w:jc w:val="both"/>
        <w:rPr>
          <w:rFonts w:ascii="Garamond" w:hAnsi="Garamond"/>
          <w:bCs/>
          <w:snapToGrid w:val="0"/>
          <w:sz w:val="24"/>
          <w:szCs w:val="24"/>
        </w:rPr>
      </w:pPr>
      <w:r w:rsidRPr="00F72BE5">
        <w:rPr>
          <w:rFonts w:ascii="Garamond" w:hAnsi="Garamond"/>
          <w:bCs/>
          <w:snapToGrid w:val="0"/>
          <w:sz w:val="24"/>
          <w:szCs w:val="24"/>
        </w:rPr>
        <w:t>Mr. Collins handled my divorce in 1986.</w:t>
      </w:r>
    </w:p>
    <w:p w14:paraId="21748187" w14:textId="77777777" w:rsidR="00A16812" w:rsidRPr="00F72BE5" w:rsidRDefault="00A16812" w:rsidP="00F72BE5">
      <w:pPr>
        <w:ind w:right="720" w:firstLine="720"/>
        <w:jc w:val="both"/>
        <w:rPr>
          <w:rFonts w:ascii="Garamond" w:hAnsi="Garamond"/>
          <w:bCs/>
          <w:snapToGrid w:val="0"/>
          <w:sz w:val="24"/>
          <w:szCs w:val="24"/>
        </w:rPr>
      </w:pPr>
    </w:p>
    <w:p w14:paraId="2E861BDC" w14:textId="5C9F3FA6" w:rsidR="00F72BE5" w:rsidRDefault="00F72BE5" w:rsidP="00F72BE5">
      <w:pPr>
        <w:ind w:left="720" w:right="720"/>
        <w:jc w:val="both"/>
        <w:rPr>
          <w:rFonts w:ascii="Garamond" w:hAnsi="Garamond"/>
          <w:bCs/>
          <w:snapToGrid w:val="0"/>
          <w:sz w:val="24"/>
          <w:szCs w:val="24"/>
        </w:rPr>
      </w:pPr>
      <w:r w:rsidRPr="00F72BE5">
        <w:rPr>
          <w:rFonts w:ascii="Garamond" w:hAnsi="Garamond"/>
          <w:bCs/>
          <w:snapToGrid w:val="0"/>
          <w:sz w:val="24"/>
          <w:szCs w:val="24"/>
        </w:rPr>
        <w:t>When I left the Bench in 2009, I practiced law with Mr. Collins at Collins Basinger and Pullman for about</w:t>
      </w:r>
      <w:r>
        <w:rPr>
          <w:rFonts w:ascii="Garamond" w:hAnsi="Garamond"/>
          <w:bCs/>
          <w:snapToGrid w:val="0"/>
          <w:sz w:val="24"/>
          <w:szCs w:val="24"/>
        </w:rPr>
        <w:t xml:space="preserve"> </w:t>
      </w:r>
      <w:r w:rsidRPr="00F72BE5">
        <w:rPr>
          <w:rFonts w:ascii="Garamond" w:hAnsi="Garamond"/>
          <w:bCs/>
          <w:snapToGrid w:val="0"/>
          <w:sz w:val="24"/>
          <w:szCs w:val="24"/>
        </w:rPr>
        <w:t>two years.  I started my own firm, The Law Office of Anne Ashby, PLLC in 2011.</w:t>
      </w:r>
    </w:p>
    <w:p w14:paraId="3CE1B3EE" w14:textId="77777777" w:rsidR="00F72BE5" w:rsidRPr="00F72BE5" w:rsidRDefault="00F72BE5" w:rsidP="00F72BE5">
      <w:pPr>
        <w:ind w:left="720" w:right="720"/>
        <w:jc w:val="both"/>
        <w:rPr>
          <w:rFonts w:ascii="Garamond" w:hAnsi="Garamond"/>
          <w:bCs/>
          <w:snapToGrid w:val="0"/>
          <w:sz w:val="24"/>
          <w:szCs w:val="24"/>
        </w:rPr>
      </w:pPr>
    </w:p>
    <w:p w14:paraId="737FC7FF" w14:textId="39C07B44" w:rsidR="00F72BE5" w:rsidRDefault="00F72BE5" w:rsidP="00F72BE5">
      <w:pPr>
        <w:ind w:right="720" w:firstLine="720"/>
        <w:jc w:val="both"/>
        <w:rPr>
          <w:rFonts w:ascii="Garamond" w:hAnsi="Garamond"/>
          <w:bCs/>
          <w:snapToGrid w:val="0"/>
          <w:sz w:val="24"/>
          <w:szCs w:val="24"/>
        </w:rPr>
      </w:pPr>
      <w:r w:rsidRPr="00F72BE5">
        <w:rPr>
          <w:rFonts w:ascii="Garamond" w:hAnsi="Garamond"/>
          <w:bCs/>
          <w:snapToGrid w:val="0"/>
          <w:sz w:val="24"/>
          <w:szCs w:val="24"/>
        </w:rPr>
        <w:t xml:space="preserve">I do not have an occasion to see Mr. Collins or Mr. Staubus as everyone is busy.  </w:t>
      </w:r>
    </w:p>
    <w:p w14:paraId="157040BB" w14:textId="77777777" w:rsidR="00F72BE5" w:rsidRPr="00F72BE5" w:rsidRDefault="00F72BE5" w:rsidP="00F72BE5">
      <w:pPr>
        <w:ind w:right="720" w:firstLine="720"/>
        <w:jc w:val="both"/>
        <w:rPr>
          <w:rFonts w:ascii="Garamond" w:hAnsi="Garamond"/>
          <w:bCs/>
          <w:snapToGrid w:val="0"/>
          <w:sz w:val="24"/>
          <w:szCs w:val="24"/>
        </w:rPr>
      </w:pPr>
    </w:p>
    <w:p w14:paraId="2A94C762" w14:textId="7FED777B" w:rsidR="00F72BE5" w:rsidRDefault="00F72BE5" w:rsidP="00F72BE5">
      <w:pPr>
        <w:ind w:right="720" w:firstLine="720"/>
        <w:jc w:val="both"/>
        <w:rPr>
          <w:rFonts w:ascii="Garamond" w:hAnsi="Garamond"/>
          <w:bCs/>
          <w:snapToGrid w:val="0"/>
          <w:sz w:val="24"/>
          <w:szCs w:val="24"/>
        </w:rPr>
      </w:pPr>
      <w:r w:rsidRPr="00F72BE5">
        <w:rPr>
          <w:rFonts w:ascii="Garamond" w:hAnsi="Garamond"/>
          <w:bCs/>
          <w:snapToGrid w:val="0"/>
          <w:sz w:val="24"/>
          <w:szCs w:val="24"/>
        </w:rPr>
        <w:t xml:space="preserve">In August, 2016, I served as the mediator in a matter where Mr. Staubus represented </w:t>
      </w:r>
      <w:r>
        <w:rPr>
          <w:rFonts w:ascii="Garamond" w:hAnsi="Garamond"/>
          <w:bCs/>
          <w:snapToGrid w:val="0"/>
          <w:sz w:val="24"/>
          <w:szCs w:val="24"/>
        </w:rPr>
        <w:tab/>
      </w:r>
      <w:r w:rsidRPr="00F72BE5">
        <w:rPr>
          <w:rFonts w:ascii="Garamond" w:hAnsi="Garamond"/>
          <w:bCs/>
          <w:snapToGrid w:val="0"/>
          <w:sz w:val="24"/>
          <w:szCs w:val="24"/>
        </w:rPr>
        <w:t>a party.</w:t>
      </w:r>
      <w:r w:rsidR="00E319E6">
        <w:rPr>
          <w:rStyle w:val="FootnoteReference"/>
          <w:rFonts w:ascii="Garamond" w:hAnsi="Garamond"/>
          <w:bCs/>
          <w:snapToGrid w:val="0"/>
          <w:sz w:val="24"/>
          <w:szCs w:val="24"/>
        </w:rPr>
        <w:footnoteReference w:id="6"/>
      </w:r>
    </w:p>
    <w:p w14:paraId="521D22F7" w14:textId="77777777" w:rsidR="00F72BE5" w:rsidRDefault="00F72BE5" w:rsidP="00F72BE5">
      <w:pPr>
        <w:ind w:right="720"/>
        <w:jc w:val="both"/>
        <w:rPr>
          <w:rFonts w:ascii="Garamond" w:hAnsi="Garamond"/>
          <w:bCs/>
          <w:snapToGrid w:val="0"/>
          <w:sz w:val="24"/>
          <w:szCs w:val="24"/>
        </w:rPr>
      </w:pPr>
    </w:p>
    <w:p w14:paraId="2B53E617" w14:textId="4ABE41C1" w:rsidR="00F72BE5" w:rsidRDefault="00E56476" w:rsidP="00F72BE5">
      <w:pPr>
        <w:spacing w:line="480" w:lineRule="auto"/>
        <w:jc w:val="both"/>
        <w:rPr>
          <w:rFonts w:ascii="Garamond" w:hAnsi="Garamond"/>
          <w:bCs/>
          <w:snapToGrid w:val="0"/>
          <w:sz w:val="24"/>
          <w:szCs w:val="24"/>
        </w:rPr>
      </w:pPr>
      <w:r>
        <w:rPr>
          <w:rFonts w:ascii="Garamond" w:hAnsi="Garamond"/>
          <w:bCs/>
          <w:snapToGrid w:val="0"/>
          <w:sz w:val="24"/>
          <w:szCs w:val="24"/>
        </w:rPr>
        <w:t xml:space="preserve">However, </w:t>
      </w:r>
      <w:r w:rsidR="004E5C65">
        <w:rPr>
          <w:rFonts w:ascii="Garamond" w:hAnsi="Garamond"/>
          <w:bCs/>
          <w:snapToGrid w:val="0"/>
          <w:sz w:val="24"/>
          <w:szCs w:val="24"/>
        </w:rPr>
        <w:t xml:space="preserve">what Ashby did not disclose was </w:t>
      </w:r>
      <w:r w:rsidR="00F72BE5">
        <w:rPr>
          <w:rFonts w:ascii="Garamond" w:hAnsi="Garamond"/>
          <w:bCs/>
          <w:snapToGrid w:val="0"/>
          <w:sz w:val="24"/>
          <w:szCs w:val="24"/>
        </w:rPr>
        <w:t xml:space="preserve">her </w:t>
      </w:r>
      <w:r w:rsidR="00F72BE5" w:rsidRPr="00794D33">
        <w:rPr>
          <w:rFonts w:ascii="Garamond" w:hAnsi="Garamond"/>
          <w:b/>
          <w:snapToGrid w:val="0"/>
          <w:sz w:val="24"/>
          <w:szCs w:val="24"/>
          <w:u w:val="single"/>
        </w:rPr>
        <w:t>complete</w:t>
      </w:r>
      <w:r w:rsidR="00F72BE5">
        <w:rPr>
          <w:rFonts w:ascii="Garamond" w:hAnsi="Garamond"/>
          <w:bCs/>
          <w:snapToGrid w:val="0"/>
          <w:sz w:val="24"/>
          <w:szCs w:val="24"/>
        </w:rPr>
        <w:t xml:space="preserve"> relationship with Collins and Staubus, or </w:t>
      </w:r>
      <w:r w:rsidR="004E5C65">
        <w:rPr>
          <w:rFonts w:ascii="Garamond" w:hAnsi="Garamond"/>
          <w:bCs/>
          <w:snapToGrid w:val="0"/>
          <w:sz w:val="24"/>
          <w:szCs w:val="24"/>
        </w:rPr>
        <w:t xml:space="preserve">that </w:t>
      </w:r>
      <w:r w:rsidR="005B24E5">
        <w:rPr>
          <w:rFonts w:ascii="Garamond" w:hAnsi="Garamond"/>
          <w:bCs/>
          <w:snapToGrid w:val="0"/>
          <w:sz w:val="24"/>
          <w:szCs w:val="24"/>
        </w:rPr>
        <w:t xml:space="preserve">she had an ongoing business relationship with </w:t>
      </w:r>
      <w:r w:rsidR="00CE5382">
        <w:rPr>
          <w:rFonts w:ascii="Garamond" w:hAnsi="Garamond"/>
          <w:bCs/>
          <w:snapToGrid w:val="0"/>
          <w:sz w:val="24"/>
          <w:szCs w:val="24"/>
        </w:rPr>
        <w:t>Collins’</w:t>
      </w:r>
      <w:r w:rsidR="00915423">
        <w:rPr>
          <w:rFonts w:ascii="Garamond" w:hAnsi="Garamond"/>
          <w:bCs/>
          <w:snapToGrid w:val="0"/>
          <w:sz w:val="24"/>
          <w:szCs w:val="24"/>
        </w:rPr>
        <w:t>s</w:t>
      </w:r>
      <w:r w:rsidR="00CE5382">
        <w:rPr>
          <w:rFonts w:ascii="Garamond" w:hAnsi="Garamond"/>
          <w:bCs/>
          <w:snapToGrid w:val="0"/>
          <w:sz w:val="24"/>
          <w:szCs w:val="24"/>
        </w:rPr>
        <w:t xml:space="preserve"> partner and lawyer who also represented Robin in the underlying case.</w:t>
      </w:r>
      <w:r w:rsidR="00915423">
        <w:rPr>
          <w:rFonts w:ascii="Garamond" w:hAnsi="Garamond"/>
          <w:bCs/>
          <w:snapToGrid w:val="0"/>
          <w:sz w:val="24"/>
          <w:szCs w:val="24"/>
        </w:rPr>
        <w:t xml:space="preserve"> </w:t>
      </w:r>
    </w:p>
    <w:p w14:paraId="36F9A23C" w14:textId="77777777" w:rsidR="00CE6BBE" w:rsidRDefault="005B24E5" w:rsidP="00F72BE5">
      <w:pPr>
        <w:spacing w:line="480" w:lineRule="auto"/>
        <w:ind w:firstLine="720"/>
        <w:jc w:val="both"/>
        <w:rPr>
          <w:rFonts w:ascii="Garamond" w:hAnsi="Garamond"/>
          <w:bCs/>
          <w:snapToGrid w:val="0"/>
          <w:sz w:val="24"/>
          <w:szCs w:val="24"/>
        </w:rPr>
      </w:pPr>
      <w:r>
        <w:rPr>
          <w:rFonts w:ascii="Garamond" w:hAnsi="Garamond"/>
          <w:bCs/>
          <w:snapToGrid w:val="0"/>
          <w:sz w:val="24"/>
          <w:szCs w:val="24"/>
        </w:rPr>
        <w:t xml:space="preserve">Specifically, </w:t>
      </w:r>
      <w:r w:rsidR="00F72BE5">
        <w:rPr>
          <w:rFonts w:ascii="Garamond" w:hAnsi="Garamond"/>
          <w:bCs/>
          <w:snapToGrid w:val="0"/>
          <w:sz w:val="24"/>
          <w:szCs w:val="24"/>
        </w:rPr>
        <w:t>Ashby d</w:t>
      </w:r>
      <w:r w:rsidR="00A16812">
        <w:rPr>
          <w:rFonts w:ascii="Garamond" w:hAnsi="Garamond"/>
          <w:bCs/>
          <w:snapToGrid w:val="0"/>
          <w:sz w:val="24"/>
          <w:szCs w:val="24"/>
        </w:rPr>
        <w:t>id</w:t>
      </w:r>
      <w:r w:rsidR="00F72BE5">
        <w:rPr>
          <w:rFonts w:ascii="Garamond" w:hAnsi="Garamond"/>
          <w:bCs/>
          <w:snapToGrid w:val="0"/>
          <w:sz w:val="24"/>
          <w:szCs w:val="24"/>
        </w:rPr>
        <w:t xml:space="preserve"> not disclose that she worked with Collins and Staubus while at “Smith Underwood” in 1986. Although Ashby disclose</w:t>
      </w:r>
      <w:r w:rsidR="005107DB">
        <w:rPr>
          <w:rFonts w:ascii="Garamond" w:hAnsi="Garamond"/>
          <w:bCs/>
          <w:snapToGrid w:val="0"/>
          <w:sz w:val="24"/>
          <w:szCs w:val="24"/>
        </w:rPr>
        <w:t xml:space="preserve">d </w:t>
      </w:r>
      <w:r w:rsidR="00F72BE5">
        <w:rPr>
          <w:rFonts w:ascii="Garamond" w:hAnsi="Garamond"/>
          <w:bCs/>
          <w:snapToGrid w:val="0"/>
          <w:sz w:val="24"/>
          <w:szCs w:val="24"/>
        </w:rPr>
        <w:t>that she practiced with Collins at Colins Basinger and Pullman “for about two years,” Ashby did not disclose that she was a director of that law firm, which is now the Collins Law Group.</w:t>
      </w:r>
      <w:r w:rsidR="00095732">
        <w:rPr>
          <w:rStyle w:val="FootnoteReference"/>
          <w:rFonts w:ascii="Garamond" w:hAnsi="Garamond"/>
          <w:bCs/>
          <w:snapToGrid w:val="0"/>
          <w:sz w:val="24"/>
          <w:szCs w:val="24"/>
        </w:rPr>
        <w:footnoteReference w:id="7"/>
      </w:r>
      <w:r w:rsidR="00F72BE5">
        <w:rPr>
          <w:rFonts w:ascii="Garamond" w:hAnsi="Garamond"/>
          <w:bCs/>
          <w:snapToGrid w:val="0"/>
          <w:sz w:val="24"/>
          <w:szCs w:val="24"/>
        </w:rPr>
        <w:t xml:space="preserve"> </w:t>
      </w:r>
      <w:r w:rsidR="0097261F">
        <w:rPr>
          <w:rFonts w:ascii="Garamond" w:hAnsi="Garamond"/>
          <w:bCs/>
          <w:snapToGrid w:val="0"/>
          <w:sz w:val="24"/>
          <w:szCs w:val="24"/>
        </w:rPr>
        <w:t>More problematic</w:t>
      </w:r>
      <w:r w:rsidR="00F72BE5">
        <w:rPr>
          <w:rFonts w:ascii="Garamond" w:hAnsi="Garamond"/>
          <w:bCs/>
          <w:snapToGrid w:val="0"/>
          <w:sz w:val="24"/>
          <w:szCs w:val="24"/>
        </w:rPr>
        <w:t xml:space="preserve">, Ashby did not </w:t>
      </w:r>
      <w:r w:rsidR="00F72BE5" w:rsidRPr="0097261F">
        <w:rPr>
          <w:rFonts w:ascii="Garamond" w:hAnsi="Garamond"/>
          <w:b/>
          <w:snapToGrid w:val="0"/>
          <w:sz w:val="24"/>
          <w:szCs w:val="24"/>
          <w:u w:val="single"/>
        </w:rPr>
        <w:t>at all</w:t>
      </w:r>
      <w:r w:rsidR="00F72BE5">
        <w:rPr>
          <w:rFonts w:ascii="Garamond" w:hAnsi="Garamond"/>
          <w:bCs/>
          <w:snapToGrid w:val="0"/>
          <w:sz w:val="24"/>
          <w:szCs w:val="24"/>
        </w:rPr>
        <w:t xml:space="preserve"> disclose her relationship with Steve Besly, a</w:t>
      </w:r>
      <w:r w:rsidR="001E5EEE">
        <w:rPr>
          <w:rFonts w:ascii="Garamond" w:hAnsi="Garamond"/>
          <w:bCs/>
          <w:snapToGrid w:val="0"/>
          <w:sz w:val="24"/>
          <w:szCs w:val="24"/>
        </w:rPr>
        <w:t xml:space="preserve"> partner</w:t>
      </w:r>
      <w:r w:rsidR="00F72BE5">
        <w:rPr>
          <w:rFonts w:ascii="Garamond" w:hAnsi="Garamond"/>
          <w:bCs/>
          <w:snapToGrid w:val="0"/>
          <w:sz w:val="24"/>
          <w:szCs w:val="24"/>
        </w:rPr>
        <w:t xml:space="preserve"> at Collins Law Group who represented Robin.</w:t>
      </w:r>
      <w:r w:rsidR="002A5463">
        <w:rPr>
          <w:rStyle w:val="FootnoteReference"/>
          <w:rFonts w:ascii="Garamond" w:hAnsi="Garamond"/>
          <w:bCs/>
          <w:snapToGrid w:val="0"/>
          <w:sz w:val="24"/>
          <w:szCs w:val="24"/>
        </w:rPr>
        <w:footnoteReference w:id="8"/>
      </w:r>
      <w:r w:rsidR="00F72BE5">
        <w:rPr>
          <w:rFonts w:ascii="Garamond" w:hAnsi="Garamond"/>
          <w:bCs/>
          <w:snapToGrid w:val="0"/>
          <w:sz w:val="24"/>
          <w:szCs w:val="24"/>
        </w:rPr>
        <w:t xml:space="preserve"> </w:t>
      </w:r>
      <w:r w:rsidR="00FF6E81">
        <w:rPr>
          <w:rFonts w:ascii="Garamond" w:hAnsi="Garamond"/>
          <w:bCs/>
          <w:snapToGrid w:val="0"/>
          <w:sz w:val="24"/>
          <w:szCs w:val="24"/>
        </w:rPr>
        <w:t xml:space="preserve">Ashby knew that the Collins Law Group was adverse to the Allisons because Collins sought and received sanctions against the </w:t>
      </w:r>
      <w:r w:rsidR="00FF6E81">
        <w:rPr>
          <w:rFonts w:ascii="Garamond" w:hAnsi="Garamond"/>
          <w:bCs/>
          <w:snapToGrid w:val="0"/>
          <w:sz w:val="24"/>
          <w:szCs w:val="24"/>
        </w:rPr>
        <w:lastRenderedPageBreak/>
        <w:t xml:space="preserve">Allisons payable to </w:t>
      </w:r>
      <w:r w:rsidR="003709EE">
        <w:rPr>
          <w:rFonts w:ascii="Garamond" w:hAnsi="Garamond"/>
          <w:bCs/>
          <w:snapToGrid w:val="0"/>
          <w:sz w:val="24"/>
          <w:szCs w:val="24"/>
        </w:rPr>
        <w:t>“Micheal J. Collins, The Collins Law Group[.]”</w:t>
      </w:r>
      <w:r w:rsidR="003709EE">
        <w:rPr>
          <w:rStyle w:val="FootnoteReference"/>
          <w:rFonts w:ascii="Garamond" w:hAnsi="Garamond"/>
          <w:bCs/>
          <w:snapToGrid w:val="0"/>
          <w:sz w:val="24"/>
          <w:szCs w:val="24"/>
        </w:rPr>
        <w:footnoteReference w:id="9"/>
      </w:r>
      <w:r w:rsidR="003709EE">
        <w:rPr>
          <w:rFonts w:ascii="Garamond" w:hAnsi="Garamond"/>
          <w:bCs/>
          <w:snapToGrid w:val="0"/>
          <w:sz w:val="24"/>
          <w:szCs w:val="24"/>
        </w:rPr>
        <w:t xml:space="preserve"> Yet, </w:t>
      </w:r>
      <w:r w:rsidR="00F72BE5" w:rsidRPr="00C6488B">
        <w:rPr>
          <w:rFonts w:ascii="Garamond" w:hAnsi="Garamond"/>
          <w:b/>
          <w:snapToGrid w:val="0"/>
          <w:sz w:val="24"/>
          <w:szCs w:val="24"/>
        </w:rPr>
        <w:t>Ashby did not disclose that at the time of her purported disclosure in June 2023</w:t>
      </w:r>
      <w:r w:rsidR="002A5463" w:rsidRPr="00C6488B">
        <w:rPr>
          <w:rFonts w:ascii="Garamond" w:hAnsi="Garamond"/>
          <w:b/>
          <w:snapToGrid w:val="0"/>
          <w:sz w:val="24"/>
          <w:szCs w:val="24"/>
        </w:rPr>
        <w:t>,</w:t>
      </w:r>
      <w:r w:rsidR="00F72BE5" w:rsidRPr="00C6488B">
        <w:rPr>
          <w:rFonts w:ascii="Garamond" w:hAnsi="Garamond"/>
          <w:b/>
          <w:snapToGrid w:val="0"/>
          <w:sz w:val="24"/>
          <w:szCs w:val="24"/>
        </w:rPr>
        <w:t xml:space="preserve"> </w:t>
      </w:r>
      <w:r w:rsidRPr="00C6488B">
        <w:rPr>
          <w:rFonts w:ascii="Garamond" w:hAnsi="Garamond"/>
          <w:b/>
          <w:snapToGrid w:val="0"/>
          <w:sz w:val="24"/>
          <w:szCs w:val="24"/>
        </w:rPr>
        <w:t xml:space="preserve">Besly was </w:t>
      </w:r>
      <w:r w:rsidR="00915423" w:rsidRPr="00C6488B">
        <w:rPr>
          <w:rFonts w:ascii="Garamond" w:hAnsi="Garamond"/>
          <w:b/>
          <w:snapToGrid w:val="0"/>
          <w:sz w:val="24"/>
          <w:szCs w:val="24"/>
        </w:rPr>
        <w:t>then</w:t>
      </w:r>
      <w:r w:rsidRPr="00C6488B">
        <w:rPr>
          <w:rFonts w:ascii="Garamond" w:hAnsi="Garamond"/>
          <w:b/>
          <w:snapToGrid w:val="0"/>
          <w:sz w:val="24"/>
          <w:szCs w:val="24"/>
        </w:rPr>
        <w:t xml:space="preserve"> (and had been on and off since 2011) Ashby’s registered agent for her law firm, Law Office of Anne Ashby</w:t>
      </w:r>
      <w:r w:rsidR="00C6488B">
        <w:rPr>
          <w:rFonts w:ascii="Garamond" w:hAnsi="Garamond"/>
          <w:b/>
          <w:snapToGrid w:val="0"/>
          <w:sz w:val="24"/>
          <w:szCs w:val="24"/>
        </w:rPr>
        <w:t>, PLLC</w:t>
      </w:r>
      <w:r>
        <w:rPr>
          <w:rFonts w:ascii="Garamond" w:hAnsi="Garamond"/>
          <w:bCs/>
          <w:snapToGrid w:val="0"/>
          <w:sz w:val="24"/>
          <w:szCs w:val="24"/>
        </w:rPr>
        <w:t>.</w:t>
      </w:r>
      <w:r w:rsidR="002A5463">
        <w:rPr>
          <w:rStyle w:val="FootnoteReference"/>
          <w:rFonts w:ascii="Garamond" w:hAnsi="Garamond"/>
          <w:bCs/>
          <w:snapToGrid w:val="0"/>
          <w:sz w:val="24"/>
          <w:szCs w:val="24"/>
        </w:rPr>
        <w:footnoteReference w:id="10"/>
      </w:r>
      <w:r w:rsidR="0097261F">
        <w:rPr>
          <w:rFonts w:ascii="Garamond" w:hAnsi="Garamond"/>
          <w:bCs/>
          <w:snapToGrid w:val="0"/>
          <w:sz w:val="24"/>
          <w:szCs w:val="24"/>
        </w:rPr>
        <w:t xml:space="preserve"> </w:t>
      </w:r>
    </w:p>
    <w:p w14:paraId="2488938D" w14:textId="66EED17E" w:rsidR="0063029E" w:rsidRDefault="0097261F" w:rsidP="00F72BE5">
      <w:pPr>
        <w:spacing w:line="480" w:lineRule="auto"/>
        <w:ind w:firstLine="720"/>
        <w:jc w:val="both"/>
        <w:rPr>
          <w:rFonts w:ascii="Garamond" w:hAnsi="Garamond"/>
          <w:bCs/>
          <w:snapToGrid w:val="0"/>
          <w:sz w:val="24"/>
          <w:szCs w:val="24"/>
        </w:rPr>
      </w:pPr>
      <w:r>
        <w:rPr>
          <w:rFonts w:ascii="Garamond" w:hAnsi="Garamond"/>
          <w:bCs/>
          <w:snapToGrid w:val="0"/>
          <w:sz w:val="24"/>
          <w:szCs w:val="24"/>
        </w:rPr>
        <w:t>Ashby had an absolute duty and obligation to disclose this professional relationship with Besly</w:t>
      </w:r>
      <w:r w:rsidR="00255A2E">
        <w:rPr>
          <w:rFonts w:ascii="Garamond" w:hAnsi="Garamond"/>
          <w:bCs/>
          <w:snapToGrid w:val="0"/>
          <w:sz w:val="24"/>
          <w:szCs w:val="24"/>
        </w:rPr>
        <w:t xml:space="preserve">, </w:t>
      </w:r>
      <w:r w:rsidR="00C07DA0">
        <w:rPr>
          <w:rFonts w:ascii="Garamond" w:hAnsi="Garamond"/>
          <w:bCs/>
          <w:snapToGrid w:val="0"/>
          <w:sz w:val="24"/>
          <w:szCs w:val="24"/>
        </w:rPr>
        <w:t>or</w:t>
      </w:r>
      <w:r w:rsidR="00255A2E">
        <w:rPr>
          <w:rFonts w:ascii="Garamond" w:hAnsi="Garamond"/>
          <w:bCs/>
          <w:snapToGrid w:val="0"/>
          <w:sz w:val="24"/>
          <w:szCs w:val="24"/>
        </w:rPr>
        <w:t xml:space="preserve"> fully disclose her relationship with Collins and Staubus. </w:t>
      </w:r>
      <w:r w:rsidR="0063029E">
        <w:rPr>
          <w:rFonts w:ascii="Garamond" w:hAnsi="Garamond"/>
          <w:bCs/>
          <w:snapToGrid w:val="0"/>
          <w:sz w:val="24"/>
          <w:szCs w:val="24"/>
        </w:rPr>
        <w:t>The American Arbitration Association makes clear that “[a]</w:t>
      </w:r>
      <w:r w:rsidR="0063029E" w:rsidRPr="0063029E">
        <w:rPr>
          <w:rFonts w:ascii="Garamond" w:hAnsi="Garamond"/>
          <w:bCs/>
          <w:snapToGrid w:val="0"/>
          <w:sz w:val="24"/>
          <w:szCs w:val="24"/>
        </w:rPr>
        <w:t>ny doubt as to whether an arbitrator should make a disclosure should be resolved in favor of disclosure.</w:t>
      </w:r>
      <w:r w:rsidR="0063029E">
        <w:rPr>
          <w:rFonts w:ascii="Garamond" w:hAnsi="Garamond"/>
          <w:bCs/>
          <w:snapToGrid w:val="0"/>
          <w:sz w:val="24"/>
          <w:szCs w:val="24"/>
        </w:rPr>
        <w:t>”</w:t>
      </w:r>
      <w:r w:rsidR="0063029E">
        <w:rPr>
          <w:rStyle w:val="FootnoteReference"/>
          <w:rFonts w:ascii="Garamond" w:hAnsi="Garamond"/>
          <w:bCs/>
          <w:snapToGrid w:val="0"/>
          <w:sz w:val="24"/>
          <w:szCs w:val="24"/>
        </w:rPr>
        <w:footnoteReference w:id="11"/>
      </w:r>
      <w:r w:rsidR="0063029E">
        <w:rPr>
          <w:rFonts w:ascii="Garamond" w:hAnsi="Garamond"/>
          <w:bCs/>
          <w:snapToGrid w:val="0"/>
          <w:sz w:val="24"/>
          <w:szCs w:val="24"/>
        </w:rPr>
        <w:t xml:space="preserve"> On this subject, the AAA states:</w:t>
      </w:r>
    </w:p>
    <w:p w14:paraId="5E1F8497" w14:textId="7A2E7908" w:rsidR="00574274" w:rsidRDefault="0063029E" w:rsidP="00574274">
      <w:pPr>
        <w:ind w:right="720" w:firstLine="720"/>
        <w:jc w:val="both"/>
        <w:rPr>
          <w:rFonts w:ascii="Garamond" w:hAnsi="Garamond"/>
          <w:bCs/>
          <w:snapToGrid w:val="0"/>
          <w:sz w:val="24"/>
          <w:szCs w:val="24"/>
        </w:rPr>
      </w:pPr>
      <w:r w:rsidRPr="0063029E">
        <w:rPr>
          <w:rFonts w:ascii="Garamond" w:hAnsi="Garamond"/>
          <w:bCs/>
          <w:snapToGrid w:val="0"/>
          <w:sz w:val="24"/>
          <w:szCs w:val="24"/>
        </w:rPr>
        <w:t xml:space="preserve">Arbitrators for a case administered by an arbitral organization are required to provide </w:t>
      </w:r>
      <w:r w:rsidR="00574274">
        <w:rPr>
          <w:rFonts w:ascii="Garamond" w:hAnsi="Garamond"/>
          <w:bCs/>
          <w:snapToGrid w:val="0"/>
          <w:sz w:val="24"/>
          <w:szCs w:val="24"/>
        </w:rPr>
        <w:tab/>
      </w:r>
      <w:r w:rsidRPr="0063029E">
        <w:rPr>
          <w:rFonts w:ascii="Garamond" w:hAnsi="Garamond"/>
          <w:bCs/>
          <w:snapToGrid w:val="0"/>
          <w:sz w:val="24"/>
          <w:szCs w:val="24"/>
        </w:rPr>
        <w:t xml:space="preserve">full, complete disclosures of relevant conflicts, contacts, relationships and interests to </w:t>
      </w:r>
      <w:r w:rsidR="00574274">
        <w:rPr>
          <w:rFonts w:ascii="Garamond" w:hAnsi="Garamond"/>
          <w:bCs/>
          <w:snapToGrid w:val="0"/>
          <w:sz w:val="24"/>
          <w:szCs w:val="24"/>
        </w:rPr>
        <w:tab/>
      </w:r>
      <w:r w:rsidRPr="0063029E">
        <w:rPr>
          <w:rFonts w:ascii="Garamond" w:hAnsi="Garamond"/>
          <w:bCs/>
          <w:snapToGrid w:val="0"/>
          <w:sz w:val="24"/>
          <w:szCs w:val="24"/>
        </w:rPr>
        <w:t xml:space="preserve">the lawyers, parties and witnesses appearing before them, with sufficient detail (subject </w:t>
      </w:r>
      <w:r w:rsidR="00574274">
        <w:rPr>
          <w:rFonts w:ascii="Garamond" w:hAnsi="Garamond"/>
          <w:bCs/>
          <w:snapToGrid w:val="0"/>
          <w:sz w:val="24"/>
          <w:szCs w:val="24"/>
        </w:rPr>
        <w:tab/>
      </w:r>
      <w:r w:rsidRPr="0063029E">
        <w:rPr>
          <w:rFonts w:ascii="Garamond" w:hAnsi="Garamond"/>
          <w:bCs/>
          <w:snapToGrid w:val="0"/>
          <w:sz w:val="24"/>
          <w:szCs w:val="24"/>
        </w:rPr>
        <w:t xml:space="preserve">to any duties of confidentiality they may have as to other arbitrations or mediations) </w:t>
      </w:r>
      <w:r w:rsidR="00574274">
        <w:rPr>
          <w:rFonts w:ascii="Garamond" w:hAnsi="Garamond"/>
          <w:bCs/>
          <w:snapToGrid w:val="0"/>
          <w:sz w:val="24"/>
          <w:szCs w:val="24"/>
        </w:rPr>
        <w:tab/>
      </w:r>
      <w:r w:rsidRPr="0063029E">
        <w:rPr>
          <w:rFonts w:ascii="Garamond" w:hAnsi="Garamond"/>
          <w:bCs/>
          <w:snapToGrid w:val="0"/>
          <w:sz w:val="24"/>
          <w:szCs w:val="24"/>
        </w:rPr>
        <w:t>to fully inform the parties of the potential conflict.</w:t>
      </w:r>
      <w:r w:rsidR="00574274">
        <w:rPr>
          <w:rStyle w:val="FootnoteReference"/>
          <w:rFonts w:ascii="Garamond" w:hAnsi="Garamond"/>
          <w:bCs/>
          <w:snapToGrid w:val="0"/>
          <w:sz w:val="24"/>
          <w:szCs w:val="24"/>
        </w:rPr>
        <w:footnoteReference w:id="12"/>
      </w:r>
    </w:p>
    <w:p w14:paraId="0EC5F58C" w14:textId="77777777" w:rsidR="00574274" w:rsidRDefault="00574274" w:rsidP="00574274">
      <w:pPr>
        <w:ind w:right="720" w:firstLine="720"/>
        <w:jc w:val="both"/>
        <w:rPr>
          <w:rFonts w:ascii="Garamond" w:hAnsi="Garamond"/>
          <w:bCs/>
          <w:snapToGrid w:val="0"/>
          <w:sz w:val="24"/>
          <w:szCs w:val="24"/>
        </w:rPr>
      </w:pPr>
    </w:p>
    <w:p w14:paraId="3E198B3D" w14:textId="77777777" w:rsidR="00C07DA0" w:rsidRDefault="00574274" w:rsidP="007C4D1E">
      <w:pPr>
        <w:spacing w:line="480" w:lineRule="auto"/>
        <w:jc w:val="both"/>
        <w:rPr>
          <w:rFonts w:ascii="Garamond" w:hAnsi="Garamond"/>
          <w:bCs/>
          <w:snapToGrid w:val="0"/>
          <w:sz w:val="24"/>
          <w:szCs w:val="24"/>
        </w:rPr>
      </w:pPr>
      <w:r w:rsidRPr="00574274">
        <w:rPr>
          <w:rFonts w:ascii="Garamond" w:hAnsi="Garamond"/>
          <w:bCs/>
          <w:snapToGrid w:val="0"/>
          <w:sz w:val="24"/>
          <w:szCs w:val="24"/>
        </w:rPr>
        <w:t>“An arbitrator’s duty to disclose does not stop at appointment but continues throughout all stages of the arbitration. The arbitrator should conduct conflicts checks and make disclosures whenever new information emerges about the case participants, such as new or additional counsel or fact or expert witnesses.</w:t>
      </w:r>
      <w:r>
        <w:rPr>
          <w:rFonts w:ascii="Garamond" w:hAnsi="Garamond"/>
          <w:bCs/>
          <w:snapToGrid w:val="0"/>
          <w:sz w:val="24"/>
          <w:szCs w:val="24"/>
        </w:rPr>
        <w:t>”</w:t>
      </w:r>
      <w:r w:rsidR="007C4D1E">
        <w:rPr>
          <w:rStyle w:val="FootnoteReference"/>
          <w:rFonts w:ascii="Garamond" w:hAnsi="Garamond"/>
          <w:bCs/>
          <w:snapToGrid w:val="0"/>
          <w:sz w:val="24"/>
          <w:szCs w:val="24"/>
        </w:rPr>
        <w:footnoteReference w:id="13"/>
      </w:r>
      <w:r>
        <w:rPr>
          <w:rFonts w:ascii="Garamond" w:hAnsi="Garamond"/>
          <w:bCs/>
          <w:snapToGrid w:val="0"/>
          <w:sz w:val="24"/>
          <w:szCs w:val="24"/>
        </w:rPr>
        <w:t xml:space="preserve"> </w:t>
      </w:r>
    </w:p>
    <w:p w14:paraId="6A3C36EC" w14:textId="0A312DDF" w:rsidR="00C07DA0" w:rsidRDefault="00C07DA0" w:rsidP="007C4D1E">
      <w:pPr>
        <w:spacing w:line="480" w:lineRule="auto"/>
        <w:jc w:val="both"/>
        <w:rPr>
          <w:rFonts w:ascii="Garamond" w:hAnsi="Garamond"/>
          <w:bCs/>
          <w:snapToGrid w:val="0"/>
          <w:sz w:val="24"/>
          <w:szCs w:val="24"/>
        </w:rPr>
      </w:pPr>
      <w:r>
        <w:rPr>
          <w:rFonts w:ascii="Garamond" w:hAnsi="Garamond"/>
          <w:bCs/>
          <w:snapToGrid w:val="0"/>
          <w:sz w:val="24"/>
          <w:szCs w:val="24"/>
        </w:rPr>
        <w:tab/>
      </w:r>
      <w:r w:rsidR="007C4D1E">
        <w:rPr>
          <w:rFonts w:ascii="Garamond" w:hAnsi="Garamond"/>
          <w:bCs/>
          <w:snapToGrid w:val="0"/>
          <w:sz w:val="24"/>
          <w:szCs w:val="24"/>
        </w:rPr>
        <w:t>Ashby failed to comply with this obligation and did not disclose her relationship with Besly</w:t>
      </w:r>
      <w:r w:rsidR="0099338E">
        <w:rPr>
          <w:rFonts w:ascii="Garamond" w:hAnsi="Garamond"/>
          <w:bCs/>
          <w:snapToGrid w:val="0"/>
          <w:sz w:val="24"/>
          <w:szCs w:val="24"/>
        </w:rPr>
        <w:t xml:space="preserve"> even though she knew that his partner Collins, a disclosed witness in the case, was adverse to the Allisons. </w:t>
      </w:r>
      <w:r w:rsidR="00255A2E" w:rsidRPr="00C07DA0">
        <w:rPr>
          <w:rFonts w:ascii="Garamond" w:hAnsi="Garamond"/>
          <w:bCs/>
          <w:i/>
          <w:iCs/>
          <w:snapToGrid w:val="0"/>
          <w:sz w:val="24"/>
          <w:szCs w:val="24"/>
        </w:rPr>
        <w:t>See</w:t>
      </w:r>
      <w:r w:rsidR="00255A2E">
        <w:rPr>
          <w:rFonts w:ascii="Garamond" w:hAnsi="Garamond"/>
          <w:bCs/>
          <w:snapToGrid w:val="0"/>
          <w:sz w:val="24"/>
          <w:szCs w:val="24"/>
        </w:rPr>
        <w:t xml:space="preserve"> </w:t>
      </w:r>
      <w:r w:rsidRPr="00C07DA0">
        <w:rPr>
          <w:rFonts w:ascii="Garamond" w:hAnsi="Garamond"/>
          <w:bCs/>
          <w:i/>
          <w:iCs/>
          <w:snapToGrid w:val="0"/>
          <w:sz w:val="24"/>
          <w:szCs w:val="24"/>
        </w:rPr>
        <w:t>Bossley v. Mariner Fin. Group, Inc.</w:t>
      </w:r>
      <w:r w:rsidRPr="00C07DA0">
        <w:rPr>
          <w:rFonts w:ascii="Garamond" w:hAnsi="Garamond"/>
          <w:bCs/>
          <w:snapToGrid w:val="0"/>
          <w:sz w:val="24"/>
          <w:szCs w:val="24"/>
        </w:rPr>
        <w:t>, 11 S.W.3d 349, 351 (Tex. App.—Houston [1st Dist.] 2000), aff'd, 79 S.W.3d 30 (Tex. 2002)</w:t>
      </w:r>
      <w:r>
        <w:rPr>
          <w:rFonts w:ascii="Garamond" w:hAnsi="Garamond"/>
          <w:bCs/>
          <w:snapToGrid w:val="0"/>
          <w:sz w:val="24"/>
          <w:szCs w:val="24"/>
        </w:rPr>
        <w:t xml:space="preserve"> </w:t>
      </w:r>
      <w:r w:rsidR="00324232">
        <w:rPr>
          <w:rFonts w:ascii="Garamond" w:hAnsi="Garamond"/>
          <w:bCs/>
          <w:snapToGrid w:val="0"/>
          <w:sz w:val="24"/>
          <w:szCs w:val="24"/>
        </w:rPr>
        <w:t>(arbitrator</w:t>
      </w:r>
      <w:r w:rsidR="00324232" w:rsidRPr="00324232">
        <w:rPr>
          <w:rFonts w:ascii="Garamond" w:hAnsi="Garamond"/>
          <w:bCs/>
          <w:snapToGrid w:val="0"/>
          <w:sz w:val="24"/>
          <w:szCs w:val="24"/>
        </w:rPr>
        <w:t xml:space="preserve"> </w:t>
      </w:r>
      <w:r w:rsidR="00324232">
        <w:rPr>
          <w:rFonts w:ascii="Garamond" w:hAnsi="Garamond"/>
          <w:bCs/>
          <w:snapToGrid w:val="0"/>
          <w:sz w:val="24"/>
          <w:szCs w:val="24"/>
        </w:rPr>
        <w:t xml:space="preserve">who </w:t>
      </w:r>
      <w:r w:rsidR="009C2266">
        <w:rPr>
          <w:rFonts w:ascii="Garamond" w:hAnsi="Garamond"/>
          <w:bCs/>
          <w:snapToGrid w:val="0"/>
          <w:sz w:val="24"/>
          <w:szCs w:val="24"/>
        </w:rPr>
        <w:t>received</w:t>
      </w:r>
      <w:r w:rsidR="00324232" w:rsidRPr="00324232">
        <w:rPr>
          <w:rFonts w:ascii="Garamond" w:hAnsi="Garamond"/>
          <w:bCs/>
          <w:snapToGrid w:val="0"/>
          <w:sz w:val="24"/>
          <w:szCs w:val="24"/>
        </w:rPr>
        <w:t xml:space="preserve"> witness list with  name </w:t>
      </w:r>
      <w:r w:rsidR="00324232">
        <w:rPr>
          <w:rFonts w:ascii="Garamond" w:hAnsi="Garamond"/>
          <w:bCs/>
          <w:snapToGrid w:val="0"/>
          <w:sz w:val="24"/>
          <w:szCs w:val="24"/>
        </w:rPr>
        <w:t xml:space="preserve">of </w:t>
      </w:r>
      <w:r w:rsidR="009C2266">
        <w:rPr>
          <w:rFonts w:ascii="Garamond" w:hAnsi="Garamond"/>
          <w:bCs/>
          <w:snapToGrid w:val="0"/>
          <w:sz w:val="24"/>
          <w:szCs w:val="24"/>
        </w:rPr>
        <w:t>individual</w:t>
      </w:r>
      <w:r w:rsidR="00324232">
        <w:rPr>
          <w:rFonts w:ascii="Garamond" w:hAnsi="Garamond"/>
          <w:bCs/>
          <w:snapToGrid w:val="0"/>
          <w:sz w:val="24"/>
          <w:szCs w:val="24"/>
        </w:rPr>
        <w:t xml:space="preserve"> who had past relationship with arbitrator “</w:t>
      </w:r>
      <w:r w:rsidR="00324232" w:rsidRPr="00324232">
        <w:rPr>
          <w:rFonts w:ascii="Garamond" w:hAnsi="Garamond"/>
          <w:bCs/>
          <w:snapToGrid w:val="0"/>
          <w:sz w:val="24"/>
          <w:szCs w:val="24"/>
        </w:rPr>
        <w:t>had a duty to discover and disclose his connection to her.</w:t>
      </w:r>
      <w:r w:rsidR="009C2266">
        <w:rPr>
          <w:rFonts w:ascii="Garamond" w:hAnsi="Garamond"/>
          <w:bCs/>
          <w:snapToGrid w:val="0"/>
          <w:sz w:val="24"/>
          <w:szCs w:val="24"/>
        </w:rPr>
        <w:t xml:space="preserve">”). </w:t>
      </w:r>
    </w:p>
    <w:p w14:paraId="453D3A0A" w14:textId="6E59A8DE" w:rsidR="00F06932" w:rsidRDefault="00D132D0" w:rsidP="00EF545C">
      <w:pPr>
        <w:spacing w:line="480" w:lineRule="auto"/>
        <w:ind w:firstLine="720"/>
        <w:jc w:val="both"/>
        <w:rPr>
          <w:rFonts w:ascii="Garamond" w:hAnsi="Garamond"/>
          <w:bCs/>
          <w:snapToGrid w:val="0"/>
          <w:sz w:val="24"/>
          <w:szCs w:val="24"/>
        </w:rPr>
      </w:pPr>
      <w:r>
        <w:rPr>
          <w:rFonts w:ascii="Garamond" w:hAnsi="Garamond"/>
          <w:bCs/>
          <w:snapToGrid w:val="0"/>
          <w:sz w:val="24"/>
          <w:szCs w:val="24"/>
        </w:rPr>
        <w:t xml:space="preserve">Without </w:t>
      </w:r>
      <w:r w:rsidR="00C6488B">
        <w:rPr>
          <w:rFonts w:ascii="Garamond" w:hAnsi="Garamond"/>
          <w:bCs/>
          <w:snapToGrid w:val="0"/>
          <w:sz w:val="24"/>
          <w:szCs w:val="24"/>
        </w:rPr>
        <w:t xml:space="preserve">full disclosure of </w:t>
      </w:r>
      <w:r w:rsidR="000C2BD0">
        <w:rPr>
          <w:rFonts w:ascii="Garamond" w:hAnsi="Garamond"/>
          <w:bCs/>
          <w:snapToGrid w:val="0"/>
          <w:sz w:val="24"/>
          <w:szCs w:val="24"/>
        </w:rPr>
        <w:t xml:space="preserve">Ashby’s relationship with Collins and </w:t>
      </w:r>
      <w:r>
        <w:rPr>
          <w:rFonts w:ascii="Garamond" w:hAnsi="Garamond"/>
          <w:bCs/>
          <w:snapToGrid w:val="0"/>
          <w:sz w:val="24"/>
          <w:szCs w:val="24"/>
        </w:rPr>
        <w:t>any disclosure about Ashby’s professional relationship with Collins</w:t>
      </w:r>
      <w:r w:rsidR="005000BE">
        <w:rPr>
          <w:rFonts w:ascii="Garamond" w:hAnsi="Garamond"/>
          <w:bCs/>
          <w:snapToGrid w:val="0"/>
          <w:sz w:val="24"/>
          <w:szCs w:val="24"/>
        </w:rPr>
        <w:t xml:space="preserve">’ partner Besly, </w:t>
      </w:r>
      <w:r>
        <w:rPr>
          <w:rFonts w:ascii="Garamond" w:hAnsi="Garamond"/>
          <w:bCs/>
          <w:snapToGrid w:val="0"/>
          <w:sz w:val="24"/>
          <w:szCs w:val="24"/>
        </w:rPr>
        <w:t xml:space="preserve">the arbitration </w:t>
      </w:r>
      <w:r w:rsidR="00735F16">
        <w:rPr>
          <w:rFonts w:ascii="Garamond" w:hAnsi="Garamond"/>
          <w:bCs/>
          <w:snapToGrid w:val="0"/>
          <w:sz w:val="24"/>
          <w:szCs w:val="24"/>
        </w:rPr>
        <w:t>proceeded</w:t>
      </w:r>
      <w:r w:rsidR="005B4B3A">
        <w:rPr>
          <w:rFonts w:ascii="Garamond" w:hAnsi="Garamond"/>
          <w:bCs/>
          <w:snapToGrid w:val="0"/>
          <w:sz w:val="24"/>
          <w:szCs w:val="24"/>
        </w:rPr>
        <w:t xml:space="preserve"> with Collins being </w:t>
      </w:r>
      <w:r w:rsidR="005B4B3A">
        <w:rPr>
          <w:rFonts w:ascii="Garamond" w:hAnsi="Garamond"/>
          <w:bCs/>
          <w:snapToGrid w:val="0"/>
          <w:sz w:val="24"/>
          <w:szCs w:val="24"/>
        </w:rPr>
        <w:lastRenderedPageBreak/>
        <w:t xml:space="preserve">mentioned hundreds of times </w:t>
      </w:r>
      <w:r w:rsidR="00EF545C">
        <w:rPr>
          <w:rFonts w:ascii="Garamond" w:hAnsi="Garamond"/>
          <w:bCs/>
          <w:snapToGrid w:val="0"/>
          <w:sz w:val="24"/>
          <w:szCs w:val="24"/>
        </w:rPr>
        <w:t xml:space="preserve">throughout the testimony </w:t>
      </w:r>
      <w:r w:rsidR="005B4B3A">
        <w:rPr>
          <w:rFonts w:ascii="Garamond" w:hAnsi="Garamond"/>
          <w:bCs/>
          <w:snapToGrid w:val="0"/>
          <w:sz w:val="24"/>
          <w:szCs w:val="24"/>
        </w:rPr>
        <w:t xml:space="preserve">and </w:t>
      </w:r>
      <w:r>
        <w:rPr>
          <w:rFonts w:ascii="Garamond" w:hAnsi="Garamond"/>
          <w:bCs/>
          <w:snapToGrid w:val="0"/>
          <w:sz w:val="24"/>
          <w:szCs w:val="24"/>
        </w:rPr>
        <w:t xml:space="preserve">the Lawyers </w:t>
      </w:r>
      <w:r w:rsidR="005B4B3A">
        <w:rPr>
          <w:rFonts w:ascii="Garamond" w:hAnsi="Garamond"/>
          <w:bCs/>
          <w:snapToGrid w:val="0"/>
          <w:sz w:val="24"/>
          <w:szCs w:val="24"/>
        </w:rPr>
        <w:t>presenting</w:t>
      </w:r>
      <w:r>
        <w:rPr>
          <w:rFonts w:ascii="Garamond" w:hAnsi="Garamond"/>
          <w:bCs/>
          <w:snapToGrid w:val="0"/>
          <w:sz w:val="24"/>
          <w:szCs w:val="24"/>
        </w:rPr>
        <w:t xml:space="preserve"> Collins as a witness</w:t>
      </w:r>
      <w:r w:rsidR="005B4B3A">
        <w:rPr>
          <w:rFonts w:ascii="Garamond" w:hAnsi="Garamond"/>
          <w:bCs/>
          <w:snapToGrid w:val="0"/>
          <w:sz w:val="24"/>
          <w:szCs w:val="24"/>
        </w:rPr>
        <w:t xml:space="preserve"> </w:t>
      </w:r>
      <w:r w:rsidR="00EF545C">
        <w:rPr>
          <w:rFonts w:ascii="Garamond" w:hAnsi="Garamond"/>
          <w:bCs/>
          <w:snapToGrid w:val="0"/>
          <w:sz w:val="24"/>
          <w:szCs w:val="24"/>
        </w:rPr>
        <w:t xml:space="preserve">adverse to the Allisons </w:t>
      </w:r>
      <w:r w:rsidR="005B4B3A">
        <w:rPr>
          <w:rFonts w:ascii="Garamond" w:hAnsi="Garamond"/>
          <w:bCs/>
          <w:snapToGrid w:val="0"/>
          <w:sz w:val="24"/>
          <w:szCs w:val="24"/>
        </w:rPr>
        <w:t>through recorded videoconference hearings</w:t>
      </w:r>
      <w:r w:rsidR="00EF545C">
        <w:rPr>
          <w:rFonts w:ascii="Garamond" w:hAnsi="Garamond"/>
          <w:bCs/>
          <w:snapToGrid w:val="0"/>
          <w:sz w:val="24"/>
          <w:szCs w:val="24"/>
        </w:rPr>
        <w:t>.</w:t>
      </w:r>
      <w:r w:rsidR="0060466A">
        <w:rPr>
          <w:rStyle w:val="FootnoteReference"/>
          <w:rFonts w:ascii="Garamond" w:hAnsi="Garamond"/>
          <w:bCs/>
          <w:snapToGrid w:val="0"/>
          <w:sz w:val="24"/>
          <w:szCs w:val="24"/>
        </w:rPr>
        <w:footnoteReference w:id="14"/>
      </w:r>
      <w:r w:rsidR="002B093C">
        <w:rPr>
          <w:rFonts w:ascii="Garamond" w:hAnsi="Garamond"/>
          <w:bCs/>
          <w:snapToGrid w:val="0"/>
          <w:sz w:val="24"/>
          <w:szCs w:val="24"/>
        </w:rPr>
        <w:t xml:space="preserve"> In the middle of the arbitration proceeding, Ashby made some “additional disclosures” about names that came up in the testimony, like </w:t>
      </w:r>
      <w:r w:rsidR="00AE1754">
        <w:rPr>
          <w:rFonts w:ascii="Garamond" w:hAnsi="Garamond"/>
          <w:bCs/>
          <w:snapToGrid w:val="0"/>
          <w:sz w:val="24"/>
          <w:szCs w:val="24"/>
        </w:rPr>
        <w:t xml:space="preserve">mediators </w:t>
      </w:r>
      <w:r w:rsidR="002B093C">
        <w:rPr>
          <w:rFonts w:ascii="Garamond" w:hAnsi="Garamond"/>
          <w:bCs/>
          <w:snapToGrid w:val="0"/>
          <w:sz w:val="24"/>
          <w:szCs w:val="24"/>
        </w:rPr>
        <w:t>experts from the underlying case</w:t>
      </w:r>
      <w:r w:rsidR="0060466A">
        <w:rPr>
          <w:rFonts w:ascii="Garamond" w:hAnsi="Garamond"/>
          <w:bCs/>
          <w:snapToGrid w:val="0"/>
          <w:sz w:val="24"/>
          <w:szCs w:val="24"/>
        </w:rPr>
        <w:t xml:space="preserve">, but Ashby </w:t>
      </w:r>
      <w:r w:rsidR="00EF545C">
        <w:rPr>
          <w:rFonts w:ascii="Garamond" w:hAnsi="Garamond"/>
          <w:bCs/>
          <w:snapToGrid w:val="0"/>
          <w:sz w:val="24"/>
          <w:szCs w:val="24"/>
        </w:rPr>
        <w:t xml:space="preserve">still </w:t>
      </w:r>
      <w:r w:rsidR="0060466A">
        <w:rPr>
          <w:rFonts w:ascii="Garamond" w:hAnsi="Garamond"/>
          <w:bCs/>
          <w:snapToGrid w:val="0"/>
          <w:sz w:val="24"/>
          <w:szCs w:val="24"/>
        </w:rPr>
        <w:t xml:space="preserve">did not </w:t>
      </w:r>
      <w:r w:rsidR="00F72BE5">
        <w:rPr>
          <w:rFonts w:ascii="Garamond" w:hAnsi="Garamond"/>
          <w:bCs/>
          <w:snapToGrid w:val="0"/>
          <w:sz w:val="24"/>
          <w:szCs w:val="24"/>
        </w:rPr>
        <w:t xml:space="preserve">fully </w:t>
      </w:r>
      <w:r w:rsidR="0060466A">
        <w:rPr>
          <w:rFonts w:ascii="Garamond" w:hAnsi="Garamond"/>
          <w:bCs/>
          <w:snapToGrid w:val="0"/>
          <w:sz w:val="24"/>
          <w:szCs w:val="24"/>
        </w:rPr>
        <w:t xml:space="preserve">disclose her </w:t>
      </w:r>
      <w:r w:rsidR="00F72BE5">
        <w:rPr>
          <w:rFonts w:ascii="Garamond" w:hAnsi="Garamond"/>
          <w:bCs/>
          <w:snapToGrid w:val="0"/>
          <w:sz w:val="24"/>
          <w:szCs w:val="24"/>
        </w:rPr>
        <w:t xml:space="preserve">relationship with Collins and Staubus or </w:t>
      </w:r>
      <w:r w:rsidR="001676F2">
        <w:rPr>
          <w:rFonts w:ascii="Garamond" w:hAnsi="Garamond"/>
          <w:bCs/>
          <w:snapToGrid w:val="0"/>
          <w:sz w:val="24"/>
          <w:szCs w:val="24"/>
        </w:rPr>
        <w:t xml:space="preserve">disclose at all </w:t>
      </w:r>
      <w:r w:rsidR="00F72BE5">
        <w:rPr>
          <w:rFonts w:ascii="Garamond" w:hAnsi="Garamond"/>
          <w:bCs/>
          <w:snapToGrid w:val="0"/>
          <w:sz w:val="24"/>
          <w:szCs w:val="24"/>
        </w:rPr>
        <w:t>her relationship</w:t>
      </w:r>
      <w:r w:rsidR="0060466A">
        <w:rPr>
          <w:rFonts w:ascii="Garamond" w:hAnsi="Garamond"/>
          <w:bCs/>
          <w:snapToGrid w:val="0"/>
          <w:sz w:val="24"/>
          <w:szCs w:val="24"/>
        </w:rPr>
        <w:t xml:space="preserve"> with </w:t>
      </w:r>
      <w:r w:rsidR="005A6ADA">
        <w:rPr>
          <w:rFonts w:ascii="Garamond" w:hAnsi="Garamond"/>
          <w:bCs/>
          <w:snapToGrid w:val="0"/>
          <w:sz w:val="24"/>
          <w:szCs w:val="24"/>
        </w:rPr>
        <w:t>Besly</w:t>
      </w:r>
      <w:r w:rsidR="0060466A">
        <w:rPr>
          <w:rFonts w:ascii="Garamond" w:hAnsi="Garamond"/>
          <w:bCs/>
          <w:snapToGrid w:val="0"/>
          <w:sz w:val="24"/>
          <w:szCs w:val="24"/>
        </w:rPr>
        <w:t>.</w:t>
      </w:r>
    </w:p>
    <w:p w14:paraId="1B25E8A8" w14:textId="2DD6006E" w:rsidR="0076534F" w:rsidRDefault="0076534F" w:rsidP="00EF545C">
      <w:pPr>
        <w:spacing w:line="480" w:lineRule="auto"/>
        <w:ind w:firstLine="720"/>
        <w:jc w:val="both"/>
        <w:rPr>
          <w:rFonts w:ascii="Garamond" w:hAnsi="Garamond"/>
          <w:bCs/>
          <w:snapToGrid w:val="0"/>
          <w:sz w:val="24"/>
          <w:szCs w:val="24"/>
        </w:rPr>
      </w:pPr>
      <w:r>
        <w:rPr>
          <w:rFonts w:ascii="Garamond" w:hAnsi="Garamond"/>
          <w:bCs/>
          <w:snapToGrid w:val="0"/>
          <w:sz w:val="24"/>
          <w:szCs w:val="24"/>
        </w:rPr>
        <w:t xml:space="preserve">After </w:t>
      </w:r>
      <w:r w:rsidR="00603B4B">
        <w:rPr>
          <w:rFonts w:ascii="Garamond" w:hAnsi="Garamond"/>
          <w:bCs/>
          <w:snapToGrid w:val="0"/>
          <w:sz w:val="24"/>
          <w:szCs w:val="24"/>
        </w:rPr>
        <w:t xml:space="preserve">the arbitration hearing, </w:t>
      </w:r>
      <w:r w:rsidR="001676F2">
        <w:rPr>
          <w:rFonts w:ascii="Garamond" w:hAnsi="Garamond"/>
          <w:bCs/>
          <w:snapToGrid w:val="0"/>
          <w:sz w:val="24"/>
          <w:szCs w:val="24"/>
        </w:rPr>
        <w:t>the Lawyers asked Ashby to enter an award in their favor</w:t>
      </w:r>
      <w:r w:rsidR="0097261F">
        <w:rPr>
          <w:rFonts w:ascii="Garamond" w:hAnsi="Garamond"/>
          <w:bCs/>
          <w:snapToGrid w:val="0"/>
          <w:sz w:val="24"/>
          <w:szCs w:val="24"/>
        </w:rPr>
        <w:t xml:space="preserve"> and submitted a proposed award</w:t>
      </w:r>
      <w:r w:rsidR="001676F2">
        <w:rPr>
          <w:rFonts w:ascii="Garamond" w:hAnsi="Garamond"/>
          <w:bCs/>
          <w:snapToGrid w:val="0"/>
          <w:sz w:val="24"/>
          <w:szCs w:val="24"/>
        </w:rPr>
        <w:t>.</w:t>
      </w:r>
      <w:r w:rsidR="00246FB0">
        <w:rPr>
          <w:rFonts w:ascii="Garamond" w:hAnsi="Garamond"/>
          <w:bCs/>
          <w:snapToGrid w:val="0"/>
          <w:sz w:val="24"/>
          <w:szCs w:val="24"/>
        </w:rPr>
        <w:t xml:space="preserve"> </w:t>
      </w:r>
      <w:r w:rsidR="00603B4B">
        <w:rPr>
          <w:rFonts w:ascii="Garamond" w:hAnsi="Garamond"/>
          <w:bCs/>
          <w:snapToGrid w:val="0"/>
          <w:sz w:val="24"/>
          <w:szCs w:val="24"/>
        </w:rPr>
        <w:t xml:space="preserve">Ashby </w:t>
      </w:r>
      <w:r w:rsidR="00246FB0">
        <w:rPr>
          <w:rFonts w:ascii="Garamond" w:hAnsi="Garamond"/>
          <w:bCs/>
          <w:snapToGrid w:val="0"/>
          <w:sz w:val="24"/>
          <w:szCs w:val="24"/>
        </w:rPr>
        <w:t>adopted</w:t>
      </w:r>
      <w:r w:rsidR="00603B4B">
        <w:rPr>
          <w:rFonts w:ascii="Garamond" w:hAnsi="Garamond"/>
          <w:bCs/>
          <w:snapToGrid w:val="0"/>
          <w:sz w:val="24"/>
          <w:szCs w:val="24"/>
        </w:rPr>
        <w:t xml:space="preserve"> </w:t>
      </w:r>
      <w:r w:rsidR="00246FB0">
        <w:rPr>
          <w:rFonts w:ascii="Garamond" w:hAnsi="Garamond"/>
          <w:bCs/>
          <w:snapToGrid w:val="0"/>
          <w:sz w:val="24"/>
          <w:szCs w:val="24"/>
        </w:rPr>
        <w:t>that</w:t>
      </w:r>
      <w:r w:rsidR="00603B4B">
        <w:rPr>
          <w:rFonts w:ascii="Garamond" w:hAnsi="Garamond"/>
          <w:bCs/>
          <w:snapToGrid w:val="0"/>
          <w:sz w:val="24"/>
          <w:szCs w:val="24"/>
        </w:rPr>
        <w:t xml:space="preserve"> interim award in favor of the Lawyers </w:t>
      </w:r>
      <w:r w:rsidR="00246FB0">
        <w:rPr>
          <w:rFonts w:ascii="Garamond" w:hAnsi="Garamond"/>
          <w:bCs/>
          <w:snapToGrid w:val="0"/>
          <w:sz w:val="24"/>
          <w:szCs w:val="24"/>
        </w:rPr>
        <w:t xml:space="preserve">verbatim, </w:t>
      </w:r>
      <w:r w:rsidR="00246FB0" w:rsidRPr="0097261F">
        <w:rPr>
          <w:rFonts w:ascii="Garamond" w:hAnsi="Garamond"/>
          <w:b/>
          <w:snapToGrid w:val="0"/>
          <w:sz w:val="24"/>
          <w:szCs w:val="24"/>
          <w:u w:val="single"/>
        </w:rPr>
        <w:t>without changing one word</w:t>
      </w:r>
      <w:r w:rsidR="00246FB0">
        <w:rPr>
          <w:rFonts w:ascii="Garamond" w:hAnsi="Garamond"/>
          <w:bCs/>
          <w:snapToGrid w:val="0"/>
          <w:sz w:val="24"/>
          <w:szCs w:val="24"/>
        </w:rPr>
        <w:t xml:space="preserve">, demonstrating her bias. In that award, Ashby </w:t>
      </w:r>
      <w:r w:rsidR="00603B4B">
        <w:rPr>
          <w:rFonts w:ascii="Garamond" w:hAnsi="Garamond"/>
          <w:bCs/>
          <w:snapToGrid w:val="0"/>
          <w:sz w:val="24"/>
          <w:szCs w:val="24"/>
        </w:rPr>
        <w:t xml:space="preserve">discussed the enforceability of the settlement agreement, noting that it had been approved by </w:t>
      </w:r>
      <w:r w:rsidR="00370BA0">
        <w:rPr>
          <w:rFonts w:ascii="Garamond" w:hAnsi="Garamond"/>
          <w:bCs/>
          <w:snapToGrid w:val="0"/>
          <w:sz w:val="24"/>
          <w:szCs w:val="24"/>
        </w:rPr>
        <w:t>Collins</w:t>
      </w:r>
      <w:r w:rsidR="00246FB0">
        <w:rPr>
          <w:rFonts w:ascii="Garamond" w:hAnsi="Garamond"/>
          <w:bCs/>
          <w:snapToGrid w:val="0"/>
          <w:sz w:val="24"/>
          <w:szCs w:val="24"/>
        </w:rPr>
        <w:t>, a witness in the arbitration proceeding</w:t>
      </w:r>
      <w:r w:rsidR="00370BA0">
        <w:rPr>
          <w:rFonts w:ascii="Garamond" w:hAnsi="Garamond"/>
          <w:bCs/>
          <w:snapToGrid w:val="0"/>
          <w:sz w:val="24"/>
          <w:szCs w:val="24"/>
        </w:rPr>
        <w:t>.</w:t>
      </w:r>
      <w:r w:rsidR="00C162F1">
        <w:rPr>
          <w:rFonts w:ascii="Garamond" w:hAnsi="Garamond"/>
          <w:bCs/>
          <w:snapToGrid w:val="0"/>
          <w:sz w:val="24"/>
          <w:szCs w:val="24"/>
        </w:rPr>
        <w:t xml:space="preserve"> </w:t>
      </w:r>
      <w:r w:rsidR="003A374D">
        <w:rPr>
          <w:rFonts w:ascii="Garamond" w:hAnsi="Garamond"/>
          <w:bCs/>
          <w:snapToGrid w:val="0"/>
          <w:sz w:val="24"/>
          <w:szCs w:val="24"/>
        </w:rPr>
        <w:t>Ashby stated that in making the award, she considered the testimony from the witnesses, which included Collins, and the expert reports,</w:t>
      </w:r>
      <w:r w:rsidR="00F72BE5">
        <w:rPr>
          <w:rFonts w:ascii="Garamond" w:hAnsi="Garamond"/>
          <w:bCs/>
          <w:snapToGrid w:val="0"/>
          <w:sz w:val="24"/>
          <w:szCs w:val="24"/>
        </w:rPr>
        <w:t xml:space="preserve"> including the one from Staubus,</w:t>
      </w:r>
      <w:r w:rsidR="003A374D">
        <w:rPr>
          <w:rFonts w:ascii="Garamond" w:hAnsi="Garamond"/>
          <w:bCs/>
          <w:snapToGrid w:val="0"/>
          <w:sz w:val="24"/>
          <w:szCs w:val="24"/>
        </w:rPr>
        <w:t xml:space="preserve"> which expressly mentioned Collins.</w:t>
      </w:r>
      <w:r w:rsidR="00C162F1">
        <w:rPr>
          <w:rFonts w:ascii="Garamond" w:hAnsi="Garamond"/>
          <w:bCs/>
          <w:snapToGrid w:val="0"/>
          <w:sz w:val="24"/>
          <w:szCs w:val="24"/>
        </w:rPr>
        <w:t xml:space="preserve"> </w:t>
      </w:r>
      <w:r w:rsidR="00B454A4">
        <w:rPr>
          <w:rFonts w:ascii="Garamond" w:hAnsi="Garamond"/>
          <w:bCs/>
          <w:snapToGrid w:val="0"/>
          <w:sz w:val="24"/>
          <w:szCs w:val="24"/>
        </w:rPr>
        <w:t xml:space="preserve">And yet again, Ashby did not disclose </w:t>
      </w:r>
      <w:r w:rsidR="005A6ADA">
        <w:rPr>
          <w:rFonts w:ascii="Garamond" w:hAnsi="Garamond"/>
          <w:bCs/>
          <w:snapToGrid w:val="0"/>
          <w:sz w:val="24"/>
          <w:szCs w:val="24"/>
        </w:rPr>
        <w:t xml:space="preserve">that </w:t>
      </w:r>
      <w:r w:rsidR="00F72BE5">
        <w:rPr>
          <w:rFonts w:ascii="Garamond" w:hAnsi="Garamond"/>
          <w:bCs/>
          <w:snapToGrid w:val="0"/>
          <w:sz w:val="24"/>
          <w:szCs w:val="24"/>
        </w:rPr>
        <w:t>Besly</w:t>
      </w:r>
      <w:r w:rsidR="007F3E69">
        <w:rPr>
          <w:rFonts w:ascii="Garamond" w:hAnsi="Garamond"/>
          <w:bCs/>
          <w:snapToGrid w:val="0"/>
          <w:sz w:val="24"/>
          <w:szCs w:val="24"/>
        </w:rPr>
        <w:t xml:space="preserve">, </w:t>
      </w:r>
      <w:r w:rsidR="00073BA6">
        <w:rPr>
          <w:rFonts w:ascii="Garamond" w:hAnsi="Garamond"/>
          <w:bCs/>
          <w:snapToGrid w:val="0"/>
          <w:sz w:val="24"/>
          <w:szCs w:val="24"/>
        </w:rPr>
        <w:t>Collin’s partner</w:t>
      </w:r>
      <w:r w:rsidR="005A6ADA">
        <w:rPr>
          <w:rFonts w:ascii="Garamond" w:hAnsi="Garamond"/>
          <w:bCs/>
          <w:snapToGrid w:val="0"/>
          <w:sz w:val="24"/>
          <w:szCs w:val="24"/>
        </w:rPr>
        <w:t xml:space="preserve"> at the Collins Law</w:t>
      </w:r>
      <w:r w:rsidR="00F72BE5">
        <w:rPr>
          <w:rFonts w:ascii="Garamond" w:hAnsi="Garamond"/>
          <w:bCs/>
          <w:snapToGrid w:val="0"/>
          <w:sz w:val="24"/>
          <w:szCs w:val="24"/>
        </w:rPr>
        <w:t xml:space="preserve"> Group</w:t>
      </w:r>
      <w:r w:rsidR="00B454A4">
        <w:rPr>
          <w:rFonts w:ascii="Garamond" w:hAnsi="Garamond"/>
          <w:bCs/>
          <w:snapToGrid w:val="0"/>
          <w:sz w:val="24"/>
          <w:szCs w:val="24"/>
        </w:rPr>
        <w:t xml:space="preserve">, </w:t>
      </w:r>
      <w:r w:rsidR="007F3E69">
        <w:rPr>
          <w:rFonts w:ascii="Garamond" w:hAnsi="Garamond"/>
          <w:bCs/>
          <w:snapToGrid w:val="0"/>
          <w:sz w:val="24"/>
          <w:szCs w:val="24"/>
        </w:rPr>
        <w:t>which</w:t>
      </w:r>
      <w:r w:rsidR="00B454A4">
        <w:rPr>
          <w:rFonts w:ascii="Garamond" w:hAnsi="Garamond"/>
          <w:bCs/>
          <w:snapToGrid w:val="0"/>
          <w:sz w:val="24"/>
          <w:szCs w:val="24"/>
        </w:rPr>
        <w:t xml:space="preserve"> sought </w:t>
      </w:r>
      <w:r w:rsidR="00F72BE5">
        <w:rPr>
          <w:rFonts w:ascii="Garamond" w:hAnsi="Garamond"/>
          <w:bCs/>
          <w:snapToGrid w:val="0"/>
          <w:sz w:val="24"/>
          <w:szCs w:val="24"/>
        </w:rPr>
        <w:t>and</w:t>
      </w:r>
      <w:r w:rsidR="00B454A4">
        <w:rPr>
          <w:rFonts w:ascii="Garamond" w:hAnsi="Garamond"/>
          <w:bCs/>
          <w:snapToGrid w:val="0"/>
          <w:sz w:val="24"/>
          <w:szCs w:val="24"/>
        </w:rPr>
        <w:t xml:space="preserve"> obtained sanctions against the Allisons, </w:t>
      </w:r>
      <w:r w:rsidR="007F3E69">
        <w:rPr>
          <w:rFonts w:ascii="Garamond" w:hAnsi="Garamond"/>
          <w:bCs/>
          <w:snapToGrid w:val="0"/>
          <w:sz w:val="24"/>
          <w:szCs w:val="24"/>
        </w:rPr>
        <w:t xml:space="preserve">was currently the registered agent for her law firm. </w:t>
      </w:r>
      <w:r w:rsidR="00F72BE5">
        <w:rPr>
          <w:rFonts w:ascii="Garamond" w:hAnsi="Garamond"/>
          <w:bCs/>
          <w:snapToGrid w:val="0"/>
          <w:sz w:val="24"/>
          <w:szCs w:val="24"/>
        </w:rPr>
        <w:t xml:space="preserve">In the final award, Ashby awarded more than $53,100 to the Lawyers for fees paid </w:t>
      </w:r>
      <w:r w:rsidR="00073BA6">
        <w:rPr>
          <w:rFonts w:ascii="Garamond" w:hAnsi="Garamond"/>
          <w:bCs/>
          <w:snapToGrid w:val="0"/>
          <w:sz w:val="24"/>
          <w:szCs w:val="24"/>
        </w:rPr>
        <w:t xml:space="preserve">to </w:t>
      </w:r>
      <w:r w:rsidR="00F72BE5">
        <w:rPr>
          <w:rFonts w:ascii="Garamond" w:hAnsi="Garamond"/>
          <w:bCs/>
          <w:snapToGrid w:val="0"/>
          <w:sz w:val="24"/>
          <w:szCs w:val="24"/>
        </w:rPr>
        <w:t xml:space="preserve">Staubus to prepare his expert report. </w:t>
      </w:r>
    </w:p>
    <w:p w14:paraId="4A664A6D" w14:textId="6941323B" w:rsidR="001676F2" w:rsidRDefault="006C609C" w:rsidP="000E57BB">
      <w:pPr>
        <w:spacing w:line="480" w:lineRule="auto"/>
        <w:ind w:firstLine="720"/>
        <w:jc w:val="both"/>
        <w:rPr>
          <w:rFonts w:ascii="Garamond" w:hAnsi="Garamond"/>
          <w:bCs/>
          <w:snapToGrid w:val="0"/>
          <w:sz w:val="24"/>
          <w:szCs w:val="24"/>
        </w:rPr>
      </w:pPr>
      <w:r>
        <w:rPr>
          <w:rFonts w:ascii="Garamond" w:hAnsi="Garamond"/>
          <w:bCs/>
          <w:snapToGrid w:val="0"/>
          <w:sz w:val="24"/>
          <w:szCs w:val="24"/>
        </w:rPr>
        <w:t>The trial</w:t>
      </w:r>
      <w:r w:rsidRPr="006C609C">
        <w:rPr>
          <w:rFonts w:ascii="Garamond" w:hAnsi="Garamond"/>
          <w:bCs/>
          <w:snapToGrid w:val="0"/>
          <w:sz w:val="24"/>
          <w:szCs w:val="24"/>
        </w:rPr>
        <w:t xml:space="preserve"> </w:t>
      </w:r>
      <w:r>
        <w:rPr>
          <w:rFonts w:ascii="Garamond" w:hAnsi="Garamond"/>
          <w:bCs/>
          <w:snapToGrid w:val="0"/>
          <w:sz w:val="24"/>
          <w:szCs w:val="24"/>
        </w:rPr>
        <w:t>court entered final judgment on Ashby’s arbitration award on July 15, 2024.</w:t>
      </w:r>
      <w:r w:rsidR="005C06D5">
        <w:rPr>
          <w:rStyle w:val="FootnoteReference"/>
          <w:rFonts w:ascii="Garamond" w:hAnsi="Garamond"/>
          <w:bCs/>
          <w:snapToGrid w:val="0"/>
          <w:sz w:val="24"/>
          <w:szCs w:val="24"/>
        </w:rPr>
        <w:footnoteReference w:id="15"/>
      </w:r>
      <w:r w:rsidR="006F0033">
        <w:rPr>
          <w:rFonts w:ascii="Garamond" w:hAnsi="Garamond"/>
          <w:bCs/>
          <w:snapToGrid w:val="0"/>
          <w:sz w:val="24"/>
          <w:szCs w:val="24"/>
        </w:rPr>
        <w:t xml:space="preserve"> </w:t>
      </w:r>
      <w:r>
        <w:rPr>
          <w:rFonts w:ascii="Garamond" w:hAnsi="Garamond"/>
          <w:bCs/>
          <w:snapToGrid w:val="0"/>
          <w:sz w:val="24"/>
          <w:szCs w:val="24"/>
        </w:rPr>
        <w:t xml:space="preserve">Thereafter, </w:t>
      </w:r>
      <w:r w:rsidR="00073BA6">
        <w:rPr>
          <w:rFonts w:ascii="Garamond" w:hAnsi="Garamond"/>
          <w:bCs/>
          <w:snapToGrid w:val="0"/>
          <w:sz w:val="24"/>
          <w:szCs w:val="24"/>
        </w:rPr>
        <w:t xml:space="preserve">sensing Ashby’s bias, </w:t>
      </w:r>
      <w:r>
        <w:rPr>
          <w:rFonts w:ascii="Garamond" w:hAnsi="Garamond"/>
          <w:bCs/>
          <w:snapToGrid w:val="0"/>
          <w:sz w:val="24"/>
          <w:szCs w:val="24"/>
        </w:rPr>
        <w:t xml:space="preserve">the </w:t>
      </w:r>
      <w:r w:rsidR="008E4F0E">
        <w:rPr>
          <w:rFonts w:ascii="Garamond" w:hAnsi="Garamond"/>
          <w:bCs/>
          <w:snapToGrid w:val="0"/>
          <w:sz w:val="24"/>
          <w:szCs w:val="24"/>
        </w:rPr>
        <w:t>Allisons</w:t>
      </w:r>
      <w:r w:rsidR="006F0033">
        <w:rPr>
          <w:rFonts w:ascii="Garamond" w:hAnsi="Garamond"/>
          <w:bCs/>
          <w:snapToGrid w:val="0"/>
          <w:sz w:val="24"/>
          <w:szCs w:val="24"/>
        </w:rPr>
        <w:t xml:space="preserve"> began researching Ashby and her past cases as an arbitrator because </w:t>
      </w:r>
      <w:r w:rsidR="008E4F0E">
        <w:rPr>
          <w:rFonts w:ascii="Garamond" w:hAnsi="Garamond"/>
          <w:bCs/>
          <w:snapToGrid w:val="0"/>
          <w:sz w:val="24"/>
          <w:szCs w:val="24"/>
        </w:rPr>
        <w:t>they were</w:t>
      </w:r>
      <w:r w:rsidR="006F0033">
        <w:rPr>
          <w:rFonts w:ascii="Garamond" w:hAnsi="Garamond"/>
          <w:bCs/>
          <w:snapToGrid w:val="0"/>
          <w:sz w:val="24"/>
          <w:szCs w:val="24"/>
        </w:rPr>
        <w:t xml:space="preserve"> concerned about </w:t>
      </w:r>
      <w:r w:rsidR="008E4F0E">
        <w:rPr>
          <w:rFonts w:ascii="Garamond" w:hAnsi="Garamond"/>
          <w:bCs/>
          <w:snapToGrid w:val="0"/>
          <w:sz w:val="24"/>
          <w:szCs w:val="24"/>
        </w:rPr>
        <w:t xml:space="preserve">Ashby’s </w:t>
      </w:r>
      <w:r w:rsidR="006F0033">
        <w:rPr>
          <w:rFonts w:ascii="Garamond" w:hAnsi="Garamond"/>
          <w:bCs/>
          <w:snapToGrid w:val="0"/>
          <w:sz w:val="24"/>
          <w:szCs w:val="24"/>
        </w:rPr>
        <w:t>impartiality</w:t>
      </w:r>
      <w:r w:rsidR="008963F7">
        <w:rPr>
          <w:rFonts w:ascii="Garamond" w:hAnsi="Garamond"/>
          <w:bCs/>
          <w:snapToGrid w:val="0"/>
          <w:sz w:val="24"/>
          <w:szCs w:val="24"/>
        </w:rPr>
        <w:t xml:space="preserve"> evidenced </w:t>
      </w:r>
      <w:r w:rsidR="00714697">
        <w:rPr>
          <w:rFonts w:ascii="Garamond" w:hAnsi="Garamond"/>
          <w:bCs/>
          <w:snapToGrid w:val="0"/>
          <w:sz w:val="24"/>
          <w:szCs w:val="24"/>
        </w:rPr>
        <w:t xml:space="preserve">at the arbitration hearing and </w:t>
      </w:r>
      <w:r w:rsidR="008963F7">
        <w:rPr>
          <w:rFonts w:ascii="Garamond" w:hAnsi="Garamond"/>
          <w:bCs/>
          <w:snapToGrid w:val="0"/>
          <w:sz w:val="24"/>
          <w:szCs w:val="24"/>
        </w:rPr>
        <w:t>by the final award.</w:t>
      </w:r>
      <w:r w:rsidR="008E4F0E">
        <w:rPr>
          <w:rFonts w:ascii="Garamond" w:hAnsi="Garamond"/>
          <w:bCs/>
          <w:snapToGrid w:val="0"/>
          <w:sz w:val="24"/>
          <w:szCs w:val="24"/>
        </w:rPr>
        <w:t xml:space="preserve"> </w:t>
      </w:r>
      <w:r w:rsidR="00714697">
        <w:rPr>
          <w:rFonts w:ascii="Garamond" w:hAnsi="Garamond"/>
          <w:bCs/>
          <w:snapToGrid w:val="0"/>
          <w:sz w:val="24"/>
          <w:szCs w:val="24"/>
        </w:rPr>
        <w:t xml:space="preserve">Well after final judgment, the </w:t>
      </w:r>
      <w:r w:rsidR="008E4F0E">
        <w:rPr>
          <w:rFonts w:ascii="Garamond" w:hAnsi="Garamond"/>
          <w:bCs/>
          <w:snapToGrid w:val="0"/>
          <w:sz w:val="24"/>
          <w:szCs w:val="24"/>
        </w:rPr>
        <w:t xml:space="preserve">Allisons </w:t>
      </w:r>
      <w:r w:rsidR="007F3E69">
        <w:rPr>
          <w:rFonts w:ascii="Garamond" w:hAnsi="Garamond"/>
          <w:bCs/>
          <w:snapToGrid w:val="0"/>
          <w:sz w:val="24"/>
          <w:szCs w:val="24"/>
        </w:rPr>
        <w:t xml:space="preserve">discovered </w:t>
      </w:r>
      <w:r w:rsidR="00B4100B">
        <w:rPr>
          <w:rFonts w:ascii="Garamond" w:hAnsi="Garamond"/>
          <w:bCs/>
          <w:snapToGrid w:val="0"/>
          <w:sz w:val="24"/>
          <w:szCs w:val="24"/>
        </w:rPr>
        <w:t xml:space="preserve">more complete details about </w:t>
      </w:r>
      <w:r w:rsidR="007F3E69">
        <w:rPr>
          <w:rFonts w:ascii="Garamond" w:hAnsi="Garamond"/>
          <w:bCs/>
          <w:snapToGrid w:val="0"/>
          <w:sz w:val="24"/>
          <w:szCs w:val="24"/>
        </w:rPr>
        <w:t>the</w:t>
      </w:r>
      <w:r w:rsidR="008E4F0E">
        <w:rPr>
          <w:rFonts w:ascii="Garamond" w:hAnsi="Garamond"/>
          <w:bCs/>
          <w:snapToGrid w:val="0"/>
          <w:sz w:val="24"/>
          <w:szCs w:val="24"/>
        </w:rPr>
        <w:t xml:space="preserve"> relationship between Collins, Staubus and Ashby and the</w:t>
      </w:r>
      <w:r w:rsidR="007F3E69">
        <w:rPr>
          <w:rFonts w:ascii="Garamond" w:hAnsi="Garamond"/>
          <w:bCs/>
          <w:snapToGrid w:val="0"/>
          <w:sz w:val="24"/>
          <w:szCs w:val="24"/>
        </w:rPr>
        <w:t xml:space="preserve"> undisclosed relationship between Ashby </w:t>
      </w:r>
      <w:r w:rsidR="007F3E69">
        <w:rPr>
          <w:rFonts w:ascii="Garamond" w:hAnsi="Garamond"/>
          <w:bCs/>
          <w:snapToGrid w:val="0"/>
          <w:sz w:val="24"/>
          <w:szCs w:val="24"/>
        </w:rPr>
        <w:lastRenderedPageBreak/>
        <w:t>and B</w:t>
      </w:r>
      <w:r w:rsidR="00B43DE2">
        <w:rPr>
          <w:rFonts w:ascii="Garamond" w:hAnsi="Garamond"/>
          <w:bCs/>
          <w:snapToGrid w:val="0"/>
          <w:sz w:val="24"/>
          <w:szCs w:val="24"/>
        </w:rPr>
        <w:t>e</w:t>
      </w:r>
      <w:r w:rsidR="007F3E69">
        <w:rPr>
          <w:rFonts w:ascii="Garamond" w:hAnsi="Garamond"/>
          <w:bCs/>
          <w:snapToGrid w:val="0"/>
          <w:sz w:val="24"/>
          <w:szCs w:val="24"/>
        </w:rPr>
        <w:t>sly</w:t>
      </w:r>
      <w:r w:rsidR="008F1E19">
        <w:rPr>
          <w:rFonts w:ascii="Garamond" w:hAnsi="Garamond"/>
          <w:bCs/>
          <w:snapToGrid w:val="0"/>
          <w:sz w:val="24"/>
          <w:szCs w:val="24"/>
        </w:rPr>
        <w:t>.</w:t>
      </w:r>
      <w:r w:rsidR="002E2727">
        <w:rPr>
          <w:rFonts w:ascii="Garamond" w:hAnsi="Garamond"/>
          <w:bCs/>
          <w:snapToGrid w:val="0"/>
          <w:sz w:val="24"/>
          <w:szCs w:val="24"/>
        </w:rPr>
        <w:t xml:space="preserve"> </w:t>
      </w:r>
      <w:r w:rsidR="0097261F">
        <w:rPr>
          <w:rFonts w:ascii="Garamond" w:hAnsi="Garamond"/>
          <w:bCs/>
          <w:snapToGrid w:val="0"/>
          <w:sz w:val="24"/>
          <w:szCs w:val="24"/>
        </w:rPr>
        <w:t>That investigation led to an investigative report that fully uncovered the conflicts of interest engaged in by Ashby,</w:t>
      </w:r>
      <w:r w:rsidR="0097261F">
        <w:rPr>
          <w:rStyle w:val="FootnoteReference"/>
          <w:rFonts w:ascii="Garamond" w:hAnsi="Garamond"/>
          <w:bCs/>
          <w:snapToGrid w:val="0"/>
          <w:sz w:val="24"/>
          <w:szCs w:val="24"/>
        </w:rPr>
        <w:footnoteReference w:id="16"/>
      </w:r>
      <w:r w:rsidR="0097261F">
        <w:rPr>
          <w:rFonts w:ascii="Garamond" w:hAnsi="Garamond"/>
          <w:bCs/>
          <w:snapToGrid w:val="0"/>
          <w:sz w:val="24"/>
          <w:szCs w:val="24"/>
        </w:rPr>
        <w:t xml:space="preserve"> and a two-part investigative series exposing the situation.</w:t>
      </w:r>
      <w:r w:rsidR="0097261F">
        <w:rPr>
          <w:rStyle w:val="FootnoteReference"/>
          <w:rFonts w:ascii="Garamond" w:hAnsi="Garamond"/>
          <w:bCs/>
          <w:snapToGrid w:val="0"/>
          <w:sz w:val="24"/>
          <w:szCs w:val="24"/>
        </w:rPr>
        <w:footnoteReference w:id="17"/>
      </w:r>
      <w:r w:rsidR="0097261F">
        <w:rPr>
          <w:rFonts w:ascii="Garamond" w:hAnsi="Garamond"/>
          <w:bCs/>
          <w:snapToGrid w:val="0"/>
          <w:sz w:val="24"/>
          <w:szCs w:val="24"/>
        </w:rPr>
        <w:t xml:space="preserve"> </w:t>
      </w:r>
      <w:r w:rsidR="003D78B6">
        <w:rPr>
          <w:rFonts w:ascii="Garamond" w:hAnsi="Garamond"/>
          <w:bCs/>
          <w:snapToGrid w:val="0"/>
          <w:sz w:val="24"/>
          <w:szCs w:val="24"/>
        </w:rPr>
        <w:t xml:space="preserve">Ashby’s failure to disclose </w:t>
      </w:r>
      <w:r w:rsidR="008E4F0E">
        <w:rPr>
          <w:rFonts w:ascii="Garamond" w:hAnsi="Garamond"/>
          <w:bCs/>
          <w:snapToGrid w:val="0"/>
          <w:sz w:val="24"/>
          <w:szCs w:val="24"/>
        </w:rPr>
        <w:t xml:space="preserve">these </w:t>
      </w:r>
      <w:r w:rsidR="0097261F">
        <w:rPr>
          <w:rFonts w:ascii="Garamond" w:hAnsi="Garamond"/>
          <w:bCs/>
          <w:snapToGrid w:val="0"/>
          <w:sz w:val="24"/>
          <w:szCs w:val="24"/>
        </w:rPr>
        <w:t>conflicts</w:t>
      </w:r>
      <w:r w:rsidR="008E4F0E">
        <w:rPr>
          <w:rFonts w:ascii="Garamond" w:hAnsi="Garamond"/>
          <w:bCs/>
          <w:snapToGrid w:val="0"/>
          <w:sz w:val="24"/>
          <w:szCs w:val="24"/>
        </w:rPr>
        <w:t xml:space="preserve"> </w:t>
      </w:r>
      <w:r w:rsidR="003D78B6" w:rsidRPr="00D6486B">
        <w:rPr>
          <w:rFonts w:ascii="Garamond" w:hAnsi="Garamond"/>
          <w:bCs/>
          <w:snapToGrid w:val="0"/>
          <w:sz w:val="24"/>
          <w:szCs w:val="24"/>
        </w:rPr>
        <w:t>create</w:t>
      </w:r>
      <w:r w:rsidR="008E4F0E">
        <w:rPr>
          <w:rFonts w:ascii="Garamond" w:hAnsi="Garamond"/>
          <w:bCs/>
          <w:snapToGrid w:val="0"/>
          <w:sz w:val="24"/>
          <w:szCs w:val="24"/>
        </w:rPr>
        <w:t>s</w:t>
      </w:r>
      <w:r w:rsidR="003D78B6" w:rsidRPr="00D6486B">
        <w:rPr>
          <w:rFonts w:ascii="Garamond" w:hAnsi="Garamond"/>
          <w:bCs/>
          <w:snapToGrid w:val="0"/>
          <w:sz w:val="24"/>
          <w:szCs w:val="24"/>
        </w:rPr>
        <w:t xml:space="preserve"> a reasonable impression of her partiality</w:t>
      </w:r>
      <w:r w:rsidR="008E4F0E">
        <w:rPr>
          <w:rFonts w:ascii="Garamond" w:hAnsi="Garamond"/>
          <w:bCs/>
          <w:snapToGrid w:val="0"/>
          <w:sz w:val="24"/>
          <w:szCs w:val="24"/>
        </w:rPr>
        <w:t xml:space="preserve"> warranting setting aside the judgment </w:t>
      </w:r>
      <w:r w:rsidR="00267AD1">
        <w:rPr>
          <w:rFonts w:ascii="Garamond" w:hAnsi="Garamond"/>
          <w:bCs/>
          <w:snapToGrid w:val="0"/>
          <w:sz w:val="24"/>
          <w:szCs w:val="24"/>
        </w:rPr>
        <w:t>based on contrive</w:t>
      </w:r>
      <w:r w:rsidR="00073BA6">
        <w:rPr>
          <w:rFonts w:ascii="Garamond" w:hAnsi="Garamond"/>
          <w:bCs/>
          <w:snapToGrid w:val="0"/>
          <w:sz w:val="24"/>
          <w:szCs w:val="24"/>
        </w:rPr>
        <w:t>d</w:t>
      </w:r>
      <w:r w:rsidR="00267AD1">
        <w:rPr>
          <w:rFonts w:ascii="Garamond" w:hAnsi="Garamond"/>
          <w:bCs/>
          <w:snapToGrid w:val="0"/>
          <w:sz w:val="24"/>
          <w:szCs w:val="24"/>
        </w:rPr>
        <w:t xml:space="preserve"> fraud </w:t>
      </w:r>
      <w:r w:rsidR="008E4F0E">
        <w:rPr>
          <w:rFonts w:ascii="Garamond" w:hAnsi="Garamond"/>
          <w:bCs/>
          <w:snapToGrid w:val="0"/>
          <w:sz w:val="24"/>
          <w:szCs w:val="24"/>
        </w:rPr>
        <w:t xml:space="preserve">through this bill of review. </w:t>
      </w:r>
    </w:p>
    <w:p w14:paraId="6544F7BD" w14:textId="29810305" w:rsidR="003B2DF7" w:rsidRPr="002027D2" w:rsidRDefault="00C162F1" w:rsidP="002027D2">
      <w:pPr>
        <w:spacing w:line="480" w:lineRule="auto"/>
        <w:jc w:val="center"/>
        <w:rPr>
          <w:rFonts w:ascii="Garamond" w:hAnsi="Garamond"/>
          <w:b/>
          <w:smallCaps/>
          <w:snapToGrid w:val="0"/>
          <w:sz w:val="24"/>
          <w:szCs w:val="24"/>
        </w:rPr>
      </w:pPr>
      <w:r>
        <w:rPr>
          <w:rFonts w:ascii="Garamond" w:hAnsi="Garamond"/>
          <w:b/>
          <w:smallCaps/>
          <w:snapToGrid w:val="0"/>
          <w:sz w:val="24"/>
          <w:szCs w:val="24"/>
        </w:rPr>
        <w:t xml:space="preserve">Statement of </w:t>
      </w:r>
      <w:r w:rsidR="00065EC4">
        <w:rPr>
          <w:rFonts w:ascii="Garamond" w:hAnsi="Garamond"/>
          <w:b/>
          <w:smallCaps/>
          <w:snapToGrid w:val="0"/>
          <w:sz w:val="24"/>
          <w:szCs w:val="24"/>
        </w:rPr>
        <w:t>Cause of Action</w:t>
      </w:r>
    </w:p>
    <w:p w14:paraId="45051B99" w14:textId="493E1537" w:rsidR="006614A5" w:rsidRDefault="00065EC4" w:rsidP="00FF1CDF">
      <w:pPr>
        <w:spacing w:line="480" w:lineRule="auto"/>
        <w:ind w:firstLine="720"/>
        <w:jc w:val="both"/>
        <w:rPr>
          <w:rFonts w:ascii="Garamond" w:hAnsi="Garamond"/>
          <w:bCs/>
          <w:snapToGrid w:val="0"/>
          <w:sz w:val="24"/>
          <w:szCs w:val="24"/>
        </w:rPr>
      </w:pPr>
      <w:r>
        <w:rPr>
          <w:rFonts w:ascii="Garamond" w:hAnsi="Garamond"/>
          <w:bCs/>
          <w:snapToGrid w:val="0"/>
          <w:sz w:val="24"/>
          <w:szCs w:val="24"/>
        </w:rPr>
        <w:t xml:space="preserve">Plaintiffs seek a bill of review of the July 15, 2024 final judgment rendered by this Court. </w:t>
      </w:r>
      <w:r w:rsidR="00FF1CDF" w:rsidRPr="00FF1CDF">
        <w:rPr>
          <w:rFonts w:ascii="Garamond" w:hAnsi="Garamond"/>
          <w:bCs/>
          <w:snapToGrid w:val="0"/>
          <w:sz w:val="24"/>
          <w:szCs w:val="24"/>
        </w:rPr>
        <w:t>A bill of review proceeding is an equitable one designed to prevent manifest injustice.</w:t>
      </w:r>
      <w:r w:rsidR="00FF1CDF" w:rsidRPr="00FF1CDF">
        <w:t xml:space="preserve"> </w:t>
      </w:r>
      <w:r w:rsidR="00FF1CDF" w:rsidRPr="00FF1CDF">
        <w:rPr>
          <w:rFonts w:ascii="Garamond" w:hAnsi="Garamond"/>
          <w:bCs/>
          <w:i/>
          <w:iCs/>
          <w:snapToGrid w:val="0"/>
          <w:sz w:val="24"/>
          <w:szCs w:val="24"/>
        </w:rPr>
        <w:t>Hanks v. Rosser</w:t>
      </w:r>
      <w:r w:rsidR="00FF1CDF" w:rsidRPr="00FF1CDF">
        <w:rPr>
          <w:rFonts w:ascii="Garamond" w:hAnsi="Garamond"/>
          <w:bCs/>
          <w:snapToGrid w:val="0"/>
          <w:sz w:val="24"/>
          <w:szCs w:val="24"/>
        </w:rPr>
        <w:t>, 378 S.W.2d 31, 33 (Tex. 1964)</w:t>
      </w:r>
      <w:r w:rsidR="00FF1CDF">
        <w:rPr>
          <w:rFonts w:ascii="Garamond" w:hAnsi="Garamond"/>
          <w:bCs/>
          <w:snapToGrid w:val="0"/>
          <w:sz w:val="24"/>
          <w:szCs w:val="24"/>
        </w:rPr>
        <w:t xml:space="preserve">. It </w:t>
      </w:r>
      <w:r w:rsidR="00C162F1" w:rsidRPr="00C162F1">
        <w:rPr>
          <w:rFonts w:ascii="Garamond" w:hAnsi="Garamond"/>
          <w:bCs/>
          <w:snapToGrid w:val="0"/>
          <w:sz w:val="24"/>
          <w:szCs w:val="24"/>
        </w:rPr>
        <w:t xml:space="preserve">is an independent action to set aside a judgment that is no longer appealable or subject to challenge by a motion for new trial. </w:t>
      </w:r>
      <w:r w:rsidR="00C162F1" w:rsidRPr="00757C5C">
        <w:rPr>
          <w:rFonts w:ascii="Garamond" w:hAnsi="Garamond"/>
          <w:bCs/>
          <w:i/>
          <w:iCs/>
          <w:snapToGrid w:val="0"/>
          <w:sz w:val="24"/>
          <w:szCs w:val="24"/>
        </w:rPr>
        <w:t>Wembley Inv. Co. v. Herrera</w:t>
      </w:r>
      <w:r w:rsidR="00C162F1" w:rsidRPr="00C162F1">
        <w:rPr>
          <w:rFonts w:ascii="Garamond" w:hAnsi="Garamond"/>
          <w:bCs/>
          <w:snapToGrid w:val="0"/>
          <w:sz w:val="24"/>
          <w:szCs w:val="24"/>
        </w:rPr>
        <w:t>, 11 S.W.3d 924, 927 (Tex. 1999).</w:t>
      </w:r>
      <w:r w:rsidR="00DB13AE">
        <w:rPr>
          <w:rFonts w:ascii="Garamond" w:hAnsi="Garamond"/>
          <w:bCs/>
          <w:snapToGrid w:val="0"/>
          <w:sz w:val="24"/>
          <w:szCs w:val="24"/>
        </w:rPr>
        <w:t xml:space="preserve"> The mechanism may be used by a party or nonparty to vacate a judgment confirming an arbitration award. </w:t>
      </w:r>
      <w:r w:rsidR="00DB13AE" w:rsidRPr="00DB13AE">
        <w:rPr>
          <w:rFonts w:ascii="Garamond" w:hAnsi="Garamond"/>
          <w:bCs/>
          <w:i/>
          <w:iCs/>
          <w:snapToGrid w:val="0"/>
          <w:sz w:val="24"/>
          <w:szCs w:val="24"/>
        </w:rPr>
        <w:t>See Rapid Settlements, Ltd. v. Allstate Life Ins. Co.</w:t>
      </w:r>
      <w:r w:rsidR="00DB13AE" w:rsidRPr="00DB13AE">
        <w:rPr>
          <w:rFonts w:ascii="Garamond" w:hAnsi="Garamond"/>
          <w:bCs/>
          <w:snapToGrid w:val="0"/>
          <w:sz w:val="24"/>
          <w:szCs w:val="24"/>
        </w:rPr>
        <w:t>, No. 01-08-00381-CV, 2009 Tex. App. LEXIS 3328, at *6 (Tex. App.—Houston [1st Dist.] May 8, 2009, no pet.)</w:t>
      </w:r>
      <w:r w:rsidR="00DB13AE">
        <w:rPr>
          <w:rFonts w:ascii="Garamond" w:hAnsi="Garamond"/>
          <w:bCs/>
          <w:snapToGrid w:val="0"/>
          <w:sz w:val="24"/>
          <w:szCs w:val="24"/>
        </w:rPr>
        <w:t xml:space="preserve"> (mem. op.) (trial court granted bill of review and set aside judgment confirming arbitration award). </w:t>
      </w:r>
      <w:r w:rsidR="006614A5">
        <w:rPr>
          <w:rFonts w:ascii="Garamond" w:hAnsi="Garamond"/>
          <w:bCs/>
          <w:snapToGrid w:val="0"/>
          <w:sz w:val="24"/>
          <w:szCs w:val="24"/>
        </w:rPr>
        <w:t xml:space="preserve">A petition for bill of review is timely if it is </w:t>
      </w:r>
      <w:r w:rsidR="006614A5" w:rsidRPr="006614A5">
        <w:rPr>
          <w:rFonts w:ascii="Garamond" w:hAnsi="Garamond"/>
          <w:bCs/>
          <w:snapToGrid w:val="0"/>
          <w:sz w:val="24"/>
          <w:szCs w:val="24"/>
        </w:rPr>
        <w:t xml:space="preserve">filed within four years of the complained-of judgment. </w:t>
      </w:r>
      <w:r w:rsidR="006614A5" w:rsidRPr="006614A5">
        <w:rPr>
          <w:rFonts w:ascii="Garamond" w:hAnsi="Garamond"/>
          <w:bCs/>
          <w:i/>
          <w:iCs/>
          <w:snapToGrid w:val="0"/>
          <w:sz w:val="24"/>
          <w:szCs w:val="24"/>
        </w:rPr>
        <w:t>See PNS Stores, Inc. v. Rivera</w:t>
      </w:r>
      <w:r w:rsidR="006614A5" w:rsidRPr="006614A5">
        <w:rPr>
          <w:rFonts w:ascii="Garamond" w:hAnsi="Garamond"/>
          <w:bCs/>
          <w:snapToGrid w:val="0"/>
          <w:sz w:val="24"/>
          <w:szCs w:val="24"/>
        </w:rPr>
        <w:t xml:space="preserve">, 379 S.W.3d 267, 272 n.7 (Tex. 2012) (citing </w:t>
      </w:r>
      <w:r w:rsidR="006614A5" w:rsidRPr="006614A5">
        <w:rPr>
          <w:rFonts w:ascii="Garamond" w:hAnsi="Garamond"/>
          <w:bCs/>
          <w:smallCaps/>
          <w:snapToGrid w:val="0"/>
          <w:sz w:val="24"/>
          <w:szCs w:val="24"/>
        </w:rPr>
        <w:t>Tex. Civ. Prac. &amp; Rem. Code</w:t>
      </w:r>
      <w:r w:rsidR="006614A5" w:rsidRPr="006614A5">
        <w:rPr>
          <w:rFonts w:ascii="Garamond" w:hAnsi="Garamond"/>
          <w:bCs/>
          <w:snapToGrid w:val="0"/>
          <w:sz w:val="24"/>
          <w:szCs w:val="24"/>
        </w:rPr>
        <w:t xml:space="preserve"> § 16.051 (a bill of review is governed by the residual four-year limitations period)).</w:t>
      </w:r>
      <w:r w:rsidR="00551218">
        <w:rPr>
          <w:rFonts w:ascii="Garamond" w:hAnsi="Garamond"/>
          <w:bCs/>
          <w:snapToGrid w:val="0"/>
          <w:sz w:val="24"/>
          <w:szCs w:val="24"/>
        </w:rPr>
        <w:t xml:space="preserve"> Because the complained-of judgment was entered July 15, 2024, this proceeding is timely. </w:t>
      </w:r>
    </w:p>
    <w:p w14:paraId="00103CC7" w14:textId="1044235A" w:rsidR="00C162F1" w:rsidRDefault="006614A5" w:rsidP="0043473B">
      <w:pPr>
        <w:spacing w:line="480" w:lineRule="auto"/>
        <w:ind w:firstLine="720"/>
        <w:jc w:val="both"/>
        <w:rPr>
          <w:rFonts w:ascii="Garamond" w:hAnsi="Garamond"/>
          <w:bCs/>
          <w:snapToGrid w:val="0"/>
          <w:sz w:val="24"/>
          <w:szCs w:val="24"/>
        </w:rPr>
      </w:pPr>
      <w:r>
        <w:rPr>
          <w:rFonts w:ascii="Garamond" w:hAnsi="Garamond"/>
          <w:bCs/>
          <w:snapToGrid w:val="0"/>
          <w:sz w:val="24"/>
          <w:szCs w:val="24"/>
        </w:rPr>
        <w:t>To be entitled to a bill of review, the “</w:t>
      </w:r>
      <w:r w:rsidRPr="006614A5">
        <w:rPr>
          <w:rFonts w:ascii="Garamond" w:hAnsi="Garamond"/>
          <w:bCs/>
          <w:snapToGrid w:val="0"/>
          <w:sz w:val="24"/>
          <w:szCs w:val="24"/>
        </w:rPr>
        <w:t>plaintiffs must ordinarily plead and prove (1) a meritorious defense to the underlying cause of action, (2) which the plaintiffs were prevented from making by the fraud, accident or wrongful act of the opposing party or official mistake, (3) unmixed with any fault or negligence on their own part.</w:t>
      </w:r>
      <w:r>
        <w:rPr>
          <w:rFonts w:ascii="Garamond" w:hAnsi="Garamond"/>
          <w:bCs/>
          <w:snapToGrid w:val="0"/>
          <w:sz w:val="24"/>
          <w:szCs w:val="24"/>
        </w:rPr>
        <w:t>”</w:t>
      </w:r>
      <w:r w:rsidRPr="006614A5">
        <w:t xml:space="preserve"> </w:t>
      </w:r>
      <w:r w:rsidRPr="006614A5">
        <w:rPr>
          <w:rFonts w:ascii="Garamond" w:hAnsi="Garamond"/>
          <w:bCs/>
          <w:i/>
          <w:iCs/>
          <w:snapToGrid w:val="0"/>
          <w:sz w:val="24"/>
          <w:szCs w:val="24"/>
        </w:rPr>
        <w:t>Caldwell v. Barnes</w:t>
      </w:r>
      <w:r w:rsidRPr="006614A5">
        <w:rPr>
          <w:rFonts w:ascii="Garamond" w:hAnsi="Garamond"/>
          <w:bCs/>
          <w:snapToGrid w:val="0"/>
          <w:sz w:val="24"/>
          <w:szCs w:val="24"/>
        </w:rPr>
        <w:t>, 154 S.W.3d 93, 96 (Tex. 2004)</w:t>
      </w:r>
      <w:r>
        <w:rPr>
          <w:rFonts w:ascii="Garamond" w:hAnsi="Garamond"/>
          <w:bCs/>
          <w:snapToGrid w:val="0"/>
          <w:sz w:val="24"/>
          <w:szCs w:val="24"/>
        </w:rPr>
        <w:t xml:space="preserve">. </w:t>
      </w:r>
      <w:r w:rsidR="00FF1CDF">
        <w:rPr>
          <w:rFonts w:ascii="Garamond" w:hAnsi="Garamond"/>
          <w:bCs/>
          <w:snapToGrid w:val="0"/>
          <w:sz w:val="24"/>
          <w:szCs w:val="24"/>
        </w:rPr>
        <w:lastRenderedPageBreak/>
        <w:t>However, “e</w:t>
      </w:r>
      <w:r w:rsidR="00FF1CDF" w:rsidRPr="00FF1CDF">
        <w:rPr>
          <w:rFonts w:ascii="Garamond" w:hAnsi="Garamond"/>
          <w:bCs/>
          <w:snapToGrid w:val="0"/>
          <w:sz w:val="24"/>
          <w:szCs w:val="24"/>
        </w:rPr>
        <w:t>xtrinsic fraud will support a bill of review.</w:t>
      </w:r>
      <w:r w:rsidR="00FF1CDF">
        <w:rPr>
          <w:rFonts w:ascii="Garamond" w:hAnsi="Garamond"/>
          <w:bCs/>
          <w:snapToGrid w:val="0"/>
          <w:sz w:val="24"/>
          <w:szCs w:val="24"/>
        </w:rPr>
        <w:t xml:space="preserve">” </w:t>
      </w:r>
      <w:r w:rsidR="00FF1CDF" w:rsidRPr="00FF1CDF">
        <w:rPr>
          <w:rFonts w:ascii="Garamond" w:hAnsi="Garamond"/>
          <w:bCs/>
          <w:i/>
          <w:iCs/>
          <w:snapToGrid w:val="0"/>
          <w:sz w:val="24"/>
          <w:szCs w:val="24"/>
        </w:rPr>
        <w:t>Tice v. Pasadena</w:t>
      </w:r>
      <w:r w:rsidR="00FF1CDF" w:rsidRPr="00FF1CDF">
        <w:rPr>
          <w:rFonts w:ascii="Garamond" w:hAnsi="Garamond"/>
          <w:bCs/>
          <w:snapToGrid w:val="0"/>
          <w:sz w:val="24"/>
          <w:szCs w:val="24"/>
        </w:rPr>
        <w:t>, 767 S.W.2d 700, 702 (Tex. 1989)</w:t>
      </w:r>
      <w:r w:rsidR="00FF1CDF">
        <w:rPr>
          <w:rFonts w:ascii="Garamond" w:hAnsi="Garamond"/>
          <w:bCs/>
          <w:snapToGrid w:val="0"/>
          <w:sz w:val="24"/>
          <w:szCs w:val="24"/>
        </w:rPr>
        <w:t>. E</w:t>
      </w:r>
      <w:r w:rsidR="00FF1CDF" w:rsidRPr="00FF1CDF">
        <w:rPr>
          <w:rFonts w:ascii="Garamond" w:hAnsi="Garamond"/>
          <w:bCs/>
          <w:snapToGrid w:val="0"/>
          <w:sz w:val="24"/>
          <w:szCs w:val="24"/>
        </w:rPr>
        <w:t xml:space="preserve">xtrinsic fraud is wrongful conduct practiced outside of the adversary trial that affects the manner in which the judgment was procured and prevents a litigant from having a fair opportunity to assert his rights at trial. </w:t>
      </w:r>
      <w:r w:rsidR="00FF1CDF" w:rsidRPr="00FF1CDF">
        <w:rPr>
          <w:rFonts w:ascii="Garamond" w:hAnsi="Garamond"/>
          <w:bCs/>
          <w:i/>
          <w:iCs/>
          <w:snapToGrid w:val="0"/>
          <w:sz w:val="24"/>
          <w:szCs w:val="24"/>
        </w:rPr>
        <w:t>See Browning v. Prostok</w:t>
      </w:r>
      <w:r w:rsidR="00FF1CDF" w:rsidRPr="00FF1CDF">
        <w:rPr>
          <w:rFonts w:ascii="Garamond" w:hAnsi="Garamond"/>
          <w:bCs/>
          <w:snapToGrid w:val="0"/>
          <w:sz w:val="24"/>
          <w:szCs w:val="24"/>
        </w:rPr>
        <w:t xml:space="preserve">, 165 S.W.3d 336, 347 (Tex. 2005); </w:t>
      </w:r>
      <w:r w:rsidR="00FF1CDF" w:rsidRPr="00FF1CDF">
        <w:rPr>
          <w:rFonts w:ascii="Garamond" w:hAnsi="Garamond"/>
          <w:bCs/>
          <w:i/>
          <w:iCs/>
          <w:snapToGrid w:val="0"/>
          <w:sz w:val="24"/>
          <w:szCs w:val="24"/>
        </w:rPr>
        <w:t>Tice</w:t>
      </w:r>
      <w:r w:rsidR="00FF1CDF" w:rsidRPr="00FF1CDF">
        <w:rPr>
          <w:rFonts w:ascii="Garamond" w:hAnsi="Garamond"/>
          <w:bCs/>
          <w:snapToGrid w:val="0"/>
          <w:sz w:val="24"/>
          <w:szCs w:val="24"/>
        </w:rPr>
        <w:t>, 767 S.W.2d at 702</w:t>
      </w:r>
      <w:r w:rsidR="00FF1CDF">
        <w:rPr>
          <w:rFonts w:ascii="Garamond" w:hAnsi="Garamond"/>
          <w:bCs/>
          <w:snapToGrid w:val="0"/>
          <w:sz w:val="24"/>
          <w:szCs w:val="24"/>
        </w:rPr>
        <w:t xml:space="preserve">. </w:t>
      </w:r>
      <w:r w:rsidR="0043473B">
        <w:rPr>
          <w:rFonts w:ascii="Garamond" w:hAnsi="Garamond"/>
          <w:bCs/>
          <w:snapToGrid w:val="0"/>
          <w:sz w:val="24"/>
          <w:szCs w:val="24"/>
        </w:rPr>
        <w:t xml:space="preserve">That is what occurred here due to Ashby’s nondisclosure. </w:t>
      </w:r>
    </w:p>
    <w:p w14:paraId="239BC0DB" w14:textId="7E50E28D" w:rsidR="003560BF" w:rsidRDefault="006E050F" w:rsidP="0043473B">
      <w:pPr>
        <w:spacing w:line="480" w:lineRule="auto"/>
        <w:ind w:firstLine="720"/>
        <w:jc w:val="both"/>
        <w:rPr>
          <w:rFonts w:ascii="Garamond" w:hAnsi="Garamond"/>
          <w:bCs/>
          <w:snapToGrid w:val="0"/>
          <w:sz w:val="24"/>
          <w:szCs w:val="24"/>
        </w:rPr>
      </w:pPr>
      <w:r>
        <w:rPr>
          <w:rFonts w:ascii="Garamond" w:hAnsi="Garamond"/>
          <w:bCs/>
          <w:snapToGrid w:val="0"/>
          <w:sz w:val="24"/>
          <w:szCs w:val="24"/>
        </w:rPr>
        <w:t>“</w:t>
      </w:r>
      <w:r w:rsidRPr="00184091">
        <w:rPr>
          <w:rFonts w:ascii="Garamond" w:hAnsi="Garamond"/>
          <w:bCs/>
          <w:snapToGrid w:val="0"/>
          <w:sz w:val="24"/>
          <w:szCs w:val="24"/>
        </w:rPr>
        <w:t>Evident partiality of an arbitrator is a ground for vacating an arbitration award under both the Federal Arbitration Act and the Texas Arbitration Act.</w:t>
      </w:r>
      <w:r>
        <w:rPr>
          <w:rFonts w:ascii="Garamond" w:hAnsi="Garamond"/>
          <w:bCs/>
          <w:snapToGrid w:val="0"/>
          <w:sz w:val="24"/>
          <w:szCs w:val="24"/>
        </w:rPr>
        <w:t xml:space="preserve">” </w:t>
      </w:r>
      <w:r w:rsidRPr="00184091">
        <w:rPr>
          <w:rFonts w:ascii="Garamond" w:hAnsi="Garamond"/>
          <w:bCs/>
          <w:i/>
          <w:iCs/>
          <w:snapToGrid w:val="0"/>
          <w:sz w:val="24"/>
          <w:szCs w:val="24"/>
        </w:rPr>
        <w:t>Tenaska Energy</w:t>
      </w:r>
      <w:r w:rsidRPr="00184091">
        <w:rPr>
          <w:rFonts w:ascii="Garamond" w:hAnsi="Garamond"/>
          <w:bCs/>
          <w:snapToGrid w:val="0"/>
          <w:sz w:val="24"/>
          <w:szCs w:val="24"/>
        </w:rPr>
        <w:t xml:space="preserve">, 437 S.W.3d </w:t>
      </w:r>
      <w:r>
        <w:rPr>
          <w:rFonts w:ascii="Garamond" w:hAnsi="Garamond"/>
          <w:bCs/>
          <w:snapToGrid w:val="0"/>
          <w:sz w:val="24"/>
          <w:szCs w:val="24"/>
        </w:rPr>
        <w:t>at</w:t>
      </w:r>
      <w:r w:rsidRPr="00184091">
        <w:rPr>
          <w:rFonts w:ascii="Garamond" w:hAnsi="Garamond"/>
          <w:bCs/>
          <w:snapToGrid w:val="0"/>
          <w:sz w:val="24"/>
          <w:szCs w:val="24"/>
        </w:rPr>
        <w:t xml:space="preserve"> 519</w:t>
      </w:r>
      <w:r>
        <w:rPr>
          <w:rFonts w:ascii="Garamond" w:hAnsi="Garamond"/>
          <w:bCs/>
          <w:snapToGrid w:val="0"/>
          <w:sz w:val="24"/>
          <w:szCs w:val="24"/>
        </w:rPr>
        <w:t>;</w:t>
      </w:r>
      <w:r>
        <w:rPr>
          <w:rFonts w:ascii="Garamond" w:hAnsi="Garamond"/>
          <w:bCs/>
          <w:smallCaps/>
          <w:snapToGrid w:val="0"/>
          <w:sz w:val="24"/>
          <w:szCs w:val="24"/>
        </w:rPr>
        <w:t xml:space="preserve"> </w:t>
      </w:r>
      <w:r w:rsidR="00A45ED4" w:rsidRPr="00A45ED4">
        <w:rPr>
          <w:rFonts w:ascii="Garamond" w:hAnsi="Garamond"/>
          <w:bCs/>
          <w:smallCaps/>
          <w:snapToGrid w:val="0"/>
          <w:sz w:val="24"/>
          <w:szCs w:val="24"/>
        </w:rPr>
        <w:t>Civ. Prac. &amp; Rem. Code</w:t>
      </w:r>
      <w:r w:rsidR="00A45ED4" w:rsidRPr="00A45ED4">
        <w:rPr>
          <w:rFonts w:ascii="Garamond" w:hAnsi="Garamond"/>
          <w:bCs/>
          <w:snapToGrid w:val="0"/>
          <w:sz w:val="24"/>
          <w:szCs w:val="24"/>
        </w:rPr>
        <w:t xml:space="preserve"> § 171.088(a)(2)(A). Neutral adjudicators are required to disclose any facts </w:t>
      </w:r>
      <w:r w:rsidR="00A45ED4">
        <w:rPr>
          <w:rFonts w:ascii="Garamond" w:hAnsi="Garamond"/>
          <w:bCs/>
          <w:snapToGrid w:val="0"/>
          <w:sz w:val="24"/>
          <w:szCs w:val="24"/>
        </w:rPr>
        <w:t>“</w:t>
      </w:r>
      <w:r w:rsidR="00A45ED4" w:rsidRPr="00A45ED4">
        <w:rPr>
          <w:rFonts w:ascii="Garamond" w:hAnsi="Garamond"/>
          <w:bCs/>
          <w:snapToGrid w:val="0"/>
          <w:sz w:val="24"/>
          <w:szCs w:val="24"/>
        </w:rPr>
        <w:t>which might, to an objective observer, create a reasonable impression of the arbitrator's partiality, but information that is trivial will not rise to this level and need not be disclosed.</w:t>
      </w:r>
      <w:r w:rsidR="00A45ED4">
        <w:rPr>
          <w:rFonts w:ascii="Garamond" w:hAnsi="Garamond"/>
          <w:bCs/>
          <w:snapToGrid w:val="0"/>
          <w:sz w:val="24"/>
          <w:szCs w:val="24"/>
        </w:rPr>
        <w:t>”</w:t>
      </w:r>
      <w:r w:rsidR="00A45ED4" w:rsidRPr="00A45ED4">
        <w:rPr>
          <w:rFonts w:ascii="Garamond" w:hAnsi="Garamond"/>
          <w:bCs/>
          <w:snapToGrid w:val="0"/>
          <w:sz w:val="24"/>
          <w:szCs w:val="24"/>
        </w:rPr>
        <w:t xml:space="preserve"> </w:t>
      </w:r>
      <w:r w:rsidR="00A45ED4" w:rsidRPr="00A45ED4">
        <w:rPr>
          <w:rFonts w:ascii="Garamond" w:hAnsi="Garamond"/>
          <w:bCs/>
          <w:i/>
          <w:iCs/>
          <w:snapToGrid w:val="0"/>
          <w:sz w:val="24"/>
          <w:szCs w:val="24"/>
        </w:rPr>
        <w:t>Tenaska Energy</w:t>
      </w:r>
      <w:r w:rsidR="00A45ED4" w:rsidRPr="00A45ED4">
        <w:rPr>
          <w:rFonts w:ascii="Garamond" w:hAnsi="Garamond"/>
          <w:bCs/>
          <w:snapToGrid w:val="0"/>
          <w:sz w:val="24"/>
          <w:szCs w:val="24"/>
        </w:rPr>
        <w:t xml:space="preserve">, 437 S.W.3d </w:t>
      </w:r>
      <w:r w:rsidR="00A45ED4">
        <w:rPr>
          <w:rFonts w:ascii="Garamond" w:hAnsi="Garamond"/>
          <w:bCs/>
          <w:snapToGrid w:val="0"/>
          <w:sz w:val="24"/>
          <w:szCs w:val="24"/>
        </w:rPr>
        <w:t>at</w:t>
      </w:r>
      <w:r w:rsidR="00A45ED4" w:rsidRPr="00A45ED4">
        <w:rPr>
          <w:rFonts w:ascii="Garamond" w:hAnsi="Garamond"/>
          <w:bCs/>
          <w:snapToGrid w:val="0"/>
          <w:sz w:val="24"/>
          <w:szCs w:val="24"/>
        </w:rPr>
        <w:t xml:space="preserve"> 525; </w:t>
      </w:r>
      <w:r w:rsidR="00A45ED4" w:rsidRPr="00A45ED4">
        <w:rPr>
          <w:rFonts w:ascii="Garamond" w:hAnsi="Garamond"/>
          <w:bCs/>
          <w:i/>
          <w:iCs/>
          <w:snapToGrid w:val="0"/>
          <w:sz w:val="24"/>
          <w:szCs w:val="24"/>
        </w:rPr>
        <w:t>Burlington N. R.R. Co. v. TUCO Inc.</w:t>
      </w:r>
      <w:r w:rsidR="00A45ED4" w:rsidRPr="00A45ED4">
        <w:rPr>
          <w:rFonts w:ascii="Garamond" w:hAnsi="Garamond"/>
          <w:bCs/>
          <w:snapToGrid w:val="0"/>
          <w:sz w:val="24"/>
          <w:szCs w:val="24"/>
        </w:rPr>
        <w:t>, 960 S.W.2d 629, 636 (Tex. 1997)</w:t>
      </w:r>
      <w:r w:rsidR="00A45ED4">
        <w:rPr>
          <w:rFonts w:ascii="Garamond" w:hAnsi="Garamond"/>
          <w:bCs/>
          <w:snapToGrid w:val="0"/>
          <w:sz w:val="24"/>
          <w:szCs w:val="24"/>
        </w:rPr>
        <w:t>. “</w:t>
      </w:r>
      <w:r w:rsidR="00A45ED4" w:rsidRPr="00A45ED4">
        <w:rPr>
          <w:rFonts w:ascii="Garamond" w:hAnsi="Garamond"/>
          <w:bCs/>
          <w:snapToGrid w:val="0"/>
          <w:sz w:val="24"/>
          <w:szCs w:val="24"/>
        </w:rPr>
        <w:t xml:space="preserve">[E]vident partiality is established from the </w:t>
      </w:r>
      <w:r w:rsidR="00A45ED4" w:rsidRPr="00560C99">
        <w:rPr>
          <w:rFonts w:ascii="Garamond" w:hAnsi="Garamond"/>
          <w:bCs/>
          <w:i/>
          <w:iCs/>
          <w:snapToGrid w:val="0"/>
          <w:sz w:val="24"/>
          <w:szCs w:val="24"/>
        </w:rPr>
        <w:t>nondisclosure itself</w:t>
      </w:r>
      <w:r w:rsidR="00A45ED4" w:rsidRPr="00A45ED4">
        <w:rPr>
          <w:rFonts w:ascii="Garamond" w:hAnsi="Garamond"/>
          <w:bCs/>
          <w:snapToGrid w:val="0"/>
          <w:sz w:val="24"/>
          <w:szCs w:val="24"/>
        </w:rPr>
        <w:t>, regardless of whether the nondisclosed information necessarily establishes partiality or bias.</w:t>
      </w:r>
      <w:r w:rsidR="00560C99">
        <w:rPr>
          <w:rFonts w:ascii="Garamond" w:hAnsi="Garamond"/>
          <w:bCs/>
          <w:snapToGrid w:val="0"/>
          <w:sz w:val="24"/>
          <w:szCs w:val="24"/>
        </w:rPr>
        <w:t>”</w:t>
      </w:r>
      <w:r w:rsidR="00A45ED4" w:rsidRPr="00A45ED4">
        <w:rPr>
          <w:rFonts w:ascii="Garamond" w:hAnsi="Garamond"/>
          <w:bCs/>
          <w:snapToGrid w:val="0"/>
          <w:sz w:val="24"/>
          <w:szCs w:val="24"/>
        </w:rPr>
        <w:t xml:space="preserve"> </w:t>
      </w:r>
      <w:r w:rsidR="00A45ED4" w:rsidRPr="00560C99">
        <w:rPr>
          <w:rFonts w:ascii="Garamond" w:hAnsi="Garamond"/>
          <w:bCs/>
          <w:i/>
          <w:iCs/>
          <w:snapToGrid w:val="0"/>
          <w:sz w:val="24"/>
          <w:szCs w:val="24"/>
        </w:rPr>
        <w:t>TUCO Inc.</w:t>
      </w:r>
      <w:r w:rsidR="00A45ED4" w:rsidRPr="00A45ED4">
        <w:rPr>
          <w:rFonts w:ascii="Garamond" w:hAnsi="Garamond"/>
          <w:bCs/>
          <w:snapToGrid w:val="0"/>
          <w:sz w:val="24"/>
          <w:szCs w:val="24"/>
        </w:rPr>
        <w:t>, 960 S.W.2d at 636</w:t>
      </w:r>
      <w:r w:rsidR="00E20DAC">
        <w:rPr>
          <w:rFonts w:ascii="Garamond" w:hAnsi="Garamond"/>
          <w:bCs/>
          <w:snapToGrid w:val="0"/>
          <w:sz w:val="24"/>
          <w:szCs w:val="24"/>
        </w:rPr>
        <w:t xml:space="preserve"> (emphasis in original)</w:t>
      </w:r>
      <w:r w:rsidR="00A45ED4" w:rsidRPr="00A45ED4">
        <w:rPr>
          <w:rFonts w:ascii="Garamond" w:hAnsi="Garamond"/>
          <w:bCs/>
          <w:snapToGrid w:val="0"/>
          <w:sz w:val="24"/>
          <w:szCs w:val="24"/>
        </w:rPr>
        <w:t>.</w:t>
      </w:r>
      <w:r w:rsidR="00560C99">
        <w:rPr>
          <w:rFonts w:ascii="Garamond" w:hAnsi="Garamond"/>
          <w:bCs/>
          <w:snapToGrid w:val="0"/>
          <w:sz w:val="24"/>
          <w:szCs w:val="24"/>
        </w:rPr>
        <w:t xml:space="preserve"> </w:t>
      </w:r>
      <w:r w:rsidR="00024677">
        <w:rPr>
          <w:rFonts w:ascii="Garamond" w:hAnsi="Garamond"/>
          <w:bCs/>
          <w:snapToGrid w:val="0"/>
          <w:sz w:val="24"/>
          <w:szCs w:val="24"/>
        </w:rPr>
        <w:t>“</w:t>
      </w:r>
      <w:r w:rsidR="00024677" w:rsidRPr="00024677">
        <w:rPr>
          <w:rFonts w:ascii="Garamond" w:hAnsi="Garamond"/>
          <w:bCs/>
          <w:snapToGrid w:val="0"/>
          <w:sz w:val="24"/>
          <w:szCs w:val="24"/>
        </w:rPr>
        <w:t>This approach reflects the Texas Supreme Court's determination that courts should not undertake evaluations of partiality that are best left to the parties.</w:t>
      </w:r>
      <w:r w:rsidR="00024677">
        <w:rPr>
          <w:rFonts w:ascii="Garamond" w:hAnsi="Garamond"/>
          <w:bCs/>
          <w:snapToGrid w:val="0"/>
          <w:sz w:val="24"/>
          <w:szCs w:val="24"/>
        </w:rPr>
        <w:t xml:space="preserve">” </w:t>
      </w:r>
      <w:r w:rsidR="00024677" w:rsidRPr="00024677">
        <w:rPr>
          <w:rFonts w:ascii="Garamond" w:hAnsi="Garamond"/>
          <w:bCs/>
          <w:i/>
          <w:iCs/>
          <w:snapToGrid w:val="0"/>
          <w:sz w:val="24"/>
          <w:szCs w:val="24"/>
        </w:rPr>
        <w:t>In re Marriage of Piske</w:t>
      </w:r>
      <w:r w:rsidR="00024677" w:rsidRPr="00024677">
        <w:rPr>
          <w:rFonts w:ascii="Garamond" w:hAnsi="Garamond"/>
          <w:bCs/>
          <w:snapToGrid w:val="0"/>
          <w:sz w:val="24"/>
          <w:szCs w:val="24"/>
        </w:rPr>
        <w:t>, 578 S.W.3d 624, 629 (Tex. App.—Houston [14th Dist.] 2019, no pet.)</w:t>
      </w:r>
      <w:r w:rsidR="00024677">
        <w:rPr>
          <w:rFonts w:ascii="Garamond" w:hAnsi="Garamond"/>
          <w:bCs/>
          <w:snapToGrid w:val="0"/>
          <w:sz w:val="24"/>
          <w:szCs w:val="24"/>
        </w:rPr>
        <w:t xml:space="preserve">. </w:t>
      </w:r>
      <w:r w:rsidR="00024677" w:rsidRPr="00024677">
        <w:rPr>
          <w:rFonts w:ascii="Garamond" w:hAnsi="Garamond"/>
          <w:bCs/>
          <w:snapToGrid w:val="0"/>
          <w:sz w:val="24"/>
          <w:szCs w:val="24"/>
        </w:rPr>
        <w:t xml:space="preserve">While extensive experience </w:t>
      </w:r>
      <w:r w:rsidR="00024677">
        <w:rPr>
          <w:rFonts w:ascii="Garamond" w:hAnsi="Garamond"/>
          <w:bCs/>
          <w:snapToGrid w:val="0"/>
          <w:sz w:val="24"/>
          <w:szCs w:val="24"/>
        </w:rPr>
        <w:t xml:space="preserve">with parties or witnesses to the arbitration proceeding </w:t>
      </w:r>
      <w:r w:rsidR="00024677" w:rsidRPr="00024677">
        <w:rPr>
          <w:rFonts w:ascii="Garamond" w:hAnsi="Garamond"/>
          <w:bCs/>
          <w:snapToGrid w:val="0"/>
          <w:sz w:val="24"/>
          <w:szCs w:val="24"/>
        </w:rPr>
        <w:t xml:space="preserve">should not disqualify an arbitrator </w:t>
      </w:r>
      <w:r w:rsidR="00024677" w:rsidRPr="00024677">
        <w:rPr>
          <w:rFonts w:ascii="Garamond" w:hAnsi="Garamond"/>
          <w:bCs/>
          <w:i/>
          <w:iCs/>
          <w:snapToGrid w:val="0"/>
          <w:sz w:val="24"/>
          <w:szCs w:val="24"/>
        </w:rPr>
        <w:t>per se</w:t>
      </w:r>
      <w:r w:rsidR="00024677" w:rsidRPr="00024677">
        <w:rPr>
          <w:rFonts w:ascii="Garamond" w:hAnsi="Garamond"/>
          <w:bCs/>
          <w:snapToGrid w:val="0"/>
          <w:sz w:val="24"/>
          <w:szCs w:val="24"/>
        </w:rPr>
        <w:t xml:space="preserve">, </w:t>
      </w:r>
      <w:r w:rsidR="00024677">
        <w:rPr>
          <w:rFonts w:ascii="Garamond" w:hAnsi="Garamond"/>
          <w:bCs/>
          <w:snapToGrid w:val="0"/>
          <w:sz w:val="24"/>
          <w:szCs w:val="24"/>
        </w:rPr>
        <w:t>“</w:t>
      </w:r>
      <w:r w:rsidR="00024677" w:rsidRPr="00024677">
        <w:rPr>
          <w:rFonts w:ascii="Garamond" w:hAnsi="Garamond"/>
          <w:bCs/>
          <w:snapToGrid w:val="0"/>
          <w:sz w:val="24"/>
          <w:szCs w:val="24"/>
        </w:rPr>
        <w:t>disclosing the information can help the parties attain the impartiality they seek by evaluating potential bias at the outset of the arbitration.</w:t>
      </w:r>
      <w:r w:rsidR="00024677">
        <w:rPr>
          <w:rFonts w:ascii="Garamond" w:hAnsi="Garamond"/>
          <w:bCs/>
          <w:snapToGrid w:val="0"/>
          <w:sz w:val="24"/>
          <w:szCs w:val="24"/>
        </w:rPr>
        <w:t>”</w:t>
      </w:r>
      <w:r w:rsidR="00024677" w:rsidRPr="00024677">
        <w:rPr>
          <w:rFonts w:ascii="Garamond" w:hAnsi="Garamond"/>
          <w:bCs/>
          <w:snapToGrid w:val="0"/>
          <w:sz w:val="24"/>
          <w:szCs w:val="24"/>
        </w:rPr>
        <w:t xml:space="preserve"> </w:t>
      </w:r>
      <w:r w:rsidR="001512CD" w:rsidRPr="00A45ED4">
        <w:rPr>
          <w:rFonts w:ascii="Garamond" w:hAnsi="Garamond"/>
          <w:bCs/>
          <w:i/>
          <w:iCs/>
          <w:snapToGrid w:val="0"/>
          <w:sz w:val="24"/>
          <w:szCs w:val="24"/>
        </w:rPr>
        <w:t>Tenaska Energy</w:t>
      </w:r>
      <w:r w:rsidR="001512CD" w:rsidRPr="00A45ED4">
        <w:rPr>
          <w:rFonts w:ascii="Garamond" w:hAnsi="Garamond"/>
          <w:bCs/>
          <w:snapToGrid w:val="0"/>
          <w:sz w:val="24"/>
          <w:szCs w:val="24"/>
        </w:rPr>
        <w:t xml:space="preserve">, 437 S.W.3d </w:t>
      </w:r>
      <w:r w:rsidR="001512CD">
        <w:rPr>
          <w:rFonts w:ascii="Garamond" w:hAnsi="Garamond"/>
          <w:bCs/>
          <w:snapToGrid w:val="0"/>
          <w:sz w:val="24"/>
          <w:szCs w:val="24"/>
        </w:rPr>
        <w:t>at</w:t>
      </w:r>
      <w:r w:rsidR="001512CD" w:rsidRPr="00A45ED4">
        <w:rPr>
          <w:rFonts w:ascii="Garamond" w:hAnsi="Garamond"/>
          <w:bCs/>
          <w:snapToGrid w:val="0"/>
          <w:sz w:val="24"/>
          <w:szCs w:val="24"/>
        </w:rPr>
        <w:t xml:space="preserve"> 52</w:t>
      </w:r>
      <w:r w:rsidR="001512CD">
        <w:rPr>
          <w:rFonts w:ascii="Garamond" w:hAnsi="Garamond"/>
          <w:bCs/>
          <w:snapToGrid w:val="0"/>
          <w:sz w:val="24"/>
          <w:szCs w:val="24"/>
        </w:rPr>
        <w:t xml:space="preserve">4. </w:t>
      </w:r>
    </w:p>
    <w:p w14:paraId="4A6B92F0" w14:textId="378E3558" w:rsidR="00467896" w:rsidRDefault="00E341FC" w:rsidP="00E84276">
      <w:pPr>
        <w:spacing w:line="480" w:lineRule="auto"/>
        <w:ind w:firstLine="720"/>
        <w:jc w:val="both"/>
        <w:rPr>
          <w:rFonts w:ascii="Garamond" w:hAnsi="Garamond"/>
          <w:bCs/>
          <w:snapToGrid w:val="0"/>
          <w:sz w:val="24"/>
          <w:szCs w:val="24"/>
        </w:rPr>
      </w:pPr>
      <w:r>
        <w:rPr>
          <w:rFonts w:ascii="Garamond" w:hAnsi="Garamond"/>
          <w:bCs/>
          <w:snapToGrid w:val="0"/>
          <w:sz w:val="24"/>
          <w:szCs w:val="24"/>
        </w:rPr>
        <w:t>Although Ashby need not disclose trivial relationships or connections, the relationship</w:t>
      </w:r>
      <w:r w:rsidR="0043473B">
        <w:rPr>
          <w:rFonts w:ascii="Garamond" w:hAnsi="Garamond"/>
          <w:bCs/>
          <w:snapToGrid w:val="0"/>
          <w:sz w:val="24"/>
          <w:szCs w:val="24"/>
        </w:rPr>
        <w:t>s at issue here</w:t>
      </w:r>
      <w:r>
        <w:rPr>
          <w:rFonts w:ascii="Garamond" w:hAnsi="Garamond"/>
          <w:bCs/>
          <w:snapToGrid w:val="0"/>
          <w:sz w:val="24"/>
          <w:szCs w:val="24"/>
        </w:rPr>
        <w:t xml:space="preserve"> </w:t>
      </w:r>
      <w:r w:rsidR="0043473B">
        <w:rPr>
          <w:rFonts w:ascii="Garamond" w:hAnsi="Garamond"/>
          <w:bCs/>
          <w:snapToGrid w:val="0"/>
          <w:sz w:val="24"/>
          <w:szCs w:val="24"/>
        </w:rPr>
        <w:t>were</w:t>
      </w:r>
      <w:r>
        <w:rPr>
          <w:rFonts w:ascii="Garamond" w:hAnsi="Garamond"/>
          <w:bCs/>
          <w:snapToGrid w:val="0"/>
          <w:sz w:val="24"/>
          <w:szCs w:val="24"/>
        </w:rPr>
        <w:t xml:space="preserve"> not trivial. </w:t>
      </w:r>
      <w:r w:rsidR="00385E2E">
        <w:rPr>
          <w:rFonts w:ascii="Garamond" w:hAnsi="Garamond"/>
          <w:bCs/>
          <w:snapToGrid w:val="0"/>
          <w:sz w:val="24"/>
          <w:szCs w:val="24"/>
        </w:rPr>
        <w:t>Ashby had</w:t>
      </w:r>
      <w:r w:rsidR="0043473B">
        <w:rPr>
          <w:rFonts w:ascii="Garamond" w:hAnsi="Garamond"/>
          <w:bCs/>
          <w:snapToGrid w:val="0"/>
          <w:sz w:val="24"/>
          <w:szCs w:val="24"/>
        </w:rPr>
        <w:t xml:space="preserve"> long-standing past relationships with Collins and Staubus that were not fully disclosed and </w:t>
      </w:r>
      <w:r w:rsidR="003E15BD">
        <w:rPr>
          <w:rFonts w:ascii="Garamond" w:hAnsi="Garamond"/>
          <w:bCs/>
          <w:snapToGrid w:val="0"/>
          <w:sz w:val="24"/>
          <w:szCs w:val="24"/>
        </w:rPr>
        <w:t>a</w:t>
      </w:r>
      <w:r w:rsidR="0043473B">
        <w:rPr>
          <w:rFonts w:ascii="Garamond" w:hAnsi="Garamond"/>
          <w:bCs/>
          <w:snapToGrid w:val="0"/>
          <w:sz w:val="24"/>
          <w:szCs w:val="24"/>
        </w:rPr>
        <w:t xml:space="preserve"> </w:t>
      </w:r>
      <w:r w:rsidR="00D0555A">
        <w:rPr>
          <w:rFonts w:ascii="Garamond" w:hAnsi="Garamond"/>
          <w:bCs/>
          <w:snapToGrid w:val="0"/>
          <w:sz w:val="24"/>
          <w:szCs w:val="24"/>
        </w:rPr>
        <w:t xml:space="preserve">professional relationship with a lawyer at the Collins Law </w:t>
      </w:r>
      <w:r w:rsidR="005B595E">
        <w:rPr>
          <w:rFonts w:ascii="Garamond" w:hAnsi="Garamond"/>
          <w:bCs/>
          <w:snapToGrid w:val="0"/>
          <w:sz w:val="24"/>
          <w:szCs w:val="24"/>
        </w:rPr>
        <w:t>Group</w:t>
      </w:r>
      <w:r w:rsidR="00D0555A">
        <w:rPr>
          <w:rFonts w:ascii="Garamond" w:hAnsi="Garamond"/>
          <w:bCs/>
          <w:snapToGrid w:val="0"/>
          <w:sz w:val="24"/>
          <w:szCs w:val="24"/>
        </w:rPr>
        <w:t>,</w:t>
      </w:r>
      <w:r w:rsidR="00385E2E">
        <w:rPr>
          <w:rFonts w:ascii="Garamond" w:hAnsi="Garamond"/>
          <w:bCs/>
          <w:snapToGrid w:val="0"/>
          <w:sz w:val="24"/>
          <w:szCs w:val="24"/>
        </w:rPr>
        <w:t xml:space="preserve"> </w:t>
      </w:r>
      <w:r w:rsidR="006C35D2">
        <w:rPr>
          <w:rFonts w:ascii="Garamond" w:hAnsi="Garamond"/>
          <w:bCs/>
          <w:snapToGrid w:val="0"/>
          <w:sz w:val="24"/>
          <w:szCs w:val="24"/>
        </w:rPr>
        <w:t xml:space="preserve">whose business partner, Collins, was </w:t>
      </w:r>
      <w:r w:rsidR="00385E2E">
        <w:rPr>
          <w:rFonts w:ascii="Garamond" w:hAnsi="Garamond"/>
          <w:bCs/>
          <w:snapToGrid w:val="0"/>
          <w:sz w:val="24"/>
          <w:szCs w:val="24"/>
        </w:rPr>
        <w:t>a material witness in this case</w:t>
      </w:r>
      <w:r w:rsidR="00DE53CD">
        <w:rPr>
          <w:rFonts w:ascii="Garamond" w:hAnsi="Garamond"/>
          <w:bCs/>
          <w:snapToGrid w:val="0"/>
          <w:sz w:val="24"/>
          <w:szCs w:val="24"/>
        </w:rPr>
        <w:t xml:space="preserve"> who testified for the Lawyers</w:t>
      </w:r>
      <w:r w:rsidR="003E15BD">
        <w:rPr>
          <w:rFonts w:ascii="Garamond" w:hAnsi="Garamond"/>
          <w:bCs/>
          <w:snapToGrid w:val="0"/>
          <w:sz w:val="24"/>
          <w:szCs w:val="24"/>
        </w:rPr>
        <w:t xml:space="preserve">, that was </w:t>
      </w:r>
      <w:r w:rsidR="003E15BD">
        <w:rPr>
          <w:rFonts w:ascii="Garamond" w:hAnsi="Garamond"/>
          <w:bCs/>
          <w:snapToGrid w:val="0"/>
          <w:sz w:val="24"/>
          <w:szCs w:val="24"/>
        </w:rPr>
        <w:lastRenderedPageBreak/>
        <w:t>never disclosed at all</w:t>
      </w:r>
      <w:r w:rsidR="00385E2E">
        <w:rPr>
          <w:rFonts w:ascii="Garamond" w:hAnsi="Garamond"/>
          <w:bCs/>
          <w:snapToGrid w:val="0"/>
          <w:sz w:val="24"/>
          <w:szCs w:val="24"/>
        </w:rPr>
        <w:t>.</w:t>
      </w:r>
      <w:r w:rsidR="00310311">
        <w:rPr>
          <w:rStyle w:val="FootnoteReference"/>
          <w:rFonts w:ascii="Garamond" w:hAnsi="Garamond"/>
          <w:bCs/>
          <w:snapToGrid w:val="0"/>
          <w:sz w:val="24"/>
          <w:szCs w:val="24"/>
        </w:rPr>
        <w:footnoteReference w:id="18"/>
      </w:r>
      <w:r w:rsidR="009F74A2">
        <w:rPr>
          <w:rFonts w:ascii="Garamond" w:hAnsi="Garamond"/>
          <w:bCs/>
          <w:snapToGrid w:val="0"/>
          <w:sz w:val="24"/>
          <w:szCs w:val="24"/>
        </w:rPr>
        <w:t xml:space="preserve"> </w:t>
      </w:r>
      <w:r w:rsidR="00B719AB">
        <w:rPr>
          <w:rFonts w:ascii="Garamond" w:hAnsi="Garamond"/>
          <w:bCs/>
          <w:snapToGrid w:val="0"/>
          <w:sz w:val="24"/>
          <w:szCs w:val="24"/>
        </w:rPr>
        <w:t xml:space="preserve">Texas courts, including the </w:t>
      </w:r>
      <w:r w:rsidR="0019470A">
        <w:rPr>
          <w:rFonts w:ascii="Garamond" w:hAnsi="Garamond"/>
          <w:bCs/>
          <w:snapToGrid w:val="0"/>
          <w:sz w:val="24"/>
          <w:szCs w:val="24"/>
        </w:rPr>
        <w:t xml:space="preserve">Supreme Court and </w:t>
      </w:r>
      <w:r w:rsidR="00B719AB">
        <w:rPr>
          <w:rFonts w:ascii="Garamond" w:hAnsi="Garamond"/>
          <w:bCs/>
          <w:snapToGrid w:val="0"/>
          <w:sz w:val="24"/>
          <w:szCs w:val="24"/>
        </w:rPr>
        <w:t>Fourteenth Court of</w:t>
      </w:r>
      <w:r w:rsidR="00D15A0C">
        <w:rPr>
          <w:rFonts w:ascii="Garamond" w:hAnsi="Garamond"/>
          <w:bCs/>
          <w:snapToGrid w:val="0"/>
          <w:sz w:val="24"/>
          <w:szCs w:val="24"/>
        </w:rPr>
        <w:t xml:space="preserve"> Appeals</w:t>
      </w:r>
      <w:r w:rsidR="00B719AB">
        <w:rPr>
          <w:rFonts w:ascii="Garamond" w:hAnsi="Garamond"/>
          <w:bCs/>
          <w:snapToGrid w:val="0"/>
          <w:sz w:val="24"/>
          <w:szCs w:val="24"/>
        </w:rPr>
        <w:t>,</w:t>
      </w:r>
      <w:r w:rsidR="00D15A0C">
        <w:rPr>
          <w:rFonts w:ascii="Garamond" w:hAnsi="Garamond"/>
          <w:bCs/>
          <w:snapToGrid w:val="0"/>
          <w:sz w:val="24"/>
          <w:szCs w:val="24"/>
        </w:rPr>
        <w:t xml:space="preserve"> </w:t>
      </w:r>
      <w:r w:rsidR="00467896">
        <w:rPr>
          <w:rFonts w:ascii="Garamond" w:hAnsi="Garamond"/>
          <w:bCs/>
          <w:snapToGrid w:val="0"/>
          <w:sz w:val="24"/>
          <w:szCs w:val="24"/>
        </w:rPr>
        <w:t>ha</w:t>
      </w:r>
      <w:r w:rsidR="0019470A">
        <w:rPr>
          <w:rFonts w:ascii="Garamond" w:hAnsi="Garamond"/>
          <w:bCs/>
          <w:snapToGrid w:val="0"/>
          <w:sz w:val="24"/>
          <w:szCs w:val="24"/>
        </w:rPr>
        <w:t>ve</w:t>
      </w:r>
      <w:r w:rsidR="00467896">
        <w:rPr>
          <w:rFonts w:ascii="Garamond" w:hAnsi="Garamond"/>
          <w:bCs/>
          <w:snapToGrid w:val="0"/>
          <w:sz w:val="24"/>
          <w:szCs w:val="24"/>
        </w:rPr>
        <w:t xml:space="preserve"> found professional relationships between an arbitrator </w:t>
      </w:r>
      <w:r w:rsidR="00467896" w:rsidRPr="00C61542">
        <w:rPr>
          <w:rFonts w:ascii="Garamond" w:hAnsi="Garamond"/>
          <w:bCs/>
          <w:snapToGrid w:val="0"/>
          <w:sz w:val="24"/>
          <w:szCs w:val="24"/>
        </w:rPr>
        <w:t xml:space="preserve">and persons or entities aligned with a party </w:t>
      </w:r>
      <w:r w:rsidR="00807DD2">
        <w:rPr>
          <w:rFonts w:ascii="Garamond" w:hAnsi="Garamond"/>
          <w:bCs/>
          <w:snapToGrid w:val="0"/>
          <w:sz w:val="24"/>
          <w:szCs w:val="24"/>
        </w:rPr>
        <w:t>material requiring disclosure</w:t>
      </w:r>
      <w:r w:rsidR="00B719AB">
        <w:rPr>
          <w:rFonts w:ascii="Garamond" w:hAnsi="Garamond"/>
          <w:bCs/>
          <w:snapToGrid w:val="0"/>
          <w:sz w:val="24"/>
          <w:szCs w:val="24"/>
        </w:rPr>
        <w:t xml:space="preserve">. </w:t>
      </w:r>
      <w:r w:rsidR="006D7449" w:rsidRPr="001538D8">
        <w:rPr>
          <w:rFonts w:ascii="Garamond" w:hAnsi="Garamond"/>
          <w:bCs/>
          <w:i/>
          <w:iCs/>
          <w:snapToGrid w:val="0"/>
          <w:sz w:val="24"/>
          <w:szCs w:val="24"/>
        </w:rPr>
        <w:t>See</w:t>
      </w:r>
      <w:r w:rsidR="006D7449">
        <w:rPr>
          <w:rFonts w:ascii="Garamond" w:hAnsi="Garamond"/>
          <w:bCs/>
          <w:snapToGrid w:val="0"/>
          <w:sz w:val="24"/>
          <w:szCs w:val="24"/>
        </w:rPr>
        <w:t xml:space="preserve"> </w:t>
      </w:r>
      <w:r w:rsidR="00333B4B" w:rsidRPr="00A45ED4">
        <w:rPr>
          <w:rFonts w:ascii="Garamond" w:hAnsi="Garamond"/>
          <w:bCs/>
          <w:i/>
          <w:iCs/>
          <w:snapToGrid w:val="0"/>
          <w:sz w:val="24"/>
          <w:szCs w:val="24"/>
        </w:rPr>
        <w:t>Tenaska Energy</w:t>
      </w:r>
      <w:r w:rsidR="00333B4B" w:rsidRPr="00A45ED4">
        <w:rPr>
          <w:rFonts w:ascii="Garamond" w:hAnsi="Garamond"/>
          <w:bCs/>
          <w:snapToGrid w:val="0"/>
          <w:sz w:val="24"/>
          <w:szCs w:val="24"/>
        </w:rPr>
        <w:t xml:space="preserve">, </w:t>
      </w:r>
      <w:r w:rsidR="00333B4B" w:rsidRPr="00333B4B">
        <w:rPr>
          <w:rFonts w:ascii="Garamond" w:hAnsi="Garamond"/>
          <w:bCs/>
          <w:snapToGrid w:val="0"/>
          <w:sz w:val="24"/>
          <w:szCs w:val="24"/>
        </w:rPr>
        <w:t>437 S.W.3d at 520</w:t>
      </w:r>
      <w:r w:rsidR="00E84276">
        <w:rPr>
          <w:rFonts w:ascii="Garamond" w:hAnsi="Garamond"/>
          <w:bCs/>
          <w:snapToGrid w:val="0"/>
          <w:sz w:val="24"/>
          <w:szCs w:val="24"/>
        </w:rPr>
        <w:t xml:space="preserve"> (arbitrator’s business relationship with party’s attorney was </w:t>
      </w:r>
      <w:r w:rsidR="00807DD2">
        <w:rPr>
          <w:rFonts w:ascii="Garamond" w:hAnsi="Garamond"/>
          <w:bCs/>
          <w:snapToGrid w:val="0"/>
          <w:sz w:val="24"/>
          <w:szCs w:val="24"/>
        </w:rPr>
        <w:t>material</w:t>
      </w:r>
      <w:r w:rsidR="00E84276">
        <w:rPr>
          <w:rFonts w:ascii="Garamond" w:hAnsi="Garamond"/>
          <w:bCs/>
          <w:snapToGrid w:val="0"/>
          <w:sz w:val="24"/>
          <w:szCs w:val="24"/>
        </w:rPr>
        <w:t xml:space="preserve">); </w:t>
      </w:r>
      <w:r w:rsidR="006D7449" w:rsidRPr="00560C99">
        <w:rPr>
          <w:rFonts w:ascii="Garamond" w:hAnsi="Garamond"/>
          <w:bCs/>
          <w:i/>
          <w:iCs/>
          <w:snapToGrid w:val="0"/>
          <w:sz w:val="24"/>
          <w:szCs w:val="24"/>
        </w:rPr>
        <w:t>TUCO Inc.</w:t>
      </w:r>
      <w:r w:rsidR="006D7449" w:rsidRPr="00A45ED4">
        <w:rPr>
          <w:rFonts w:ascii="Garamond" w:hAnsi="Garamond"/>
          <w:bCs/>
          <w:snapToGrid w:val="0"/>
          <w:sz w:val="24"/>
          <w:szCs w:val="24"/>
        </w:rPr>
        <w:t>, 960 S.W.2d at 636</w:t>
      </w:r>
      <w:r w:rsidR="006D7449">
        <w:rPr>
          <w:rFonts w:ascii="Garamond" w:hAnsi="Garamond"/>
          <w:bCs/>
          <w:snapToGrid w:val="0"/>
          <w:sz w:val="24"/>
          <w:szCs w:val="24"/>
        </w:rPr>
        <w:t xml:space="preserve"> </w:t>
      </w:r>
      <w:r w:rsidR="001538D8">
        <w:rPr>
          <w:rFonts w:ascii="Garamond" w:hAnsi="Garamond"/>
          <w:bCs/>
          <w:snapToGrid w:val="0"/>
          <w:sz w:val="24"/>
          <w:szCs w:val="24"/>
        </w:rPr>
        <w:t xml:space="preserve">(business referral </w:t>
      </w:r>
      <w:r w:rsidR="00224A07">
        <w:rPr>
          <w:rFonts w:ascii="Garamond" w:hAnsi="Garamond"/>
          <w:bCs/>
          <w:snapToGrid w:val="0"/>
          <w:sz w:val="24"/>
          <w:szCs w:val="24"/>
        </w:rPr>
        <w:t xml:space="preserve">to arbitrator by party’s attorney </w:t>
      </w:r>
      <w:r w:rsidR="001538D8">
        <w:rPr>
          <w:rFonts w:ascii="Garamond" w:hAnsi="Garamond"/>
          <w:bCs/>
          <w:snapToGrid w:val="0"/>
          <w:sz w:val="24"/>
          <w:szCs w:val="24"/>
        </w:rPr>
        <w:t xml:space="preserve">was </w:t>
      </w:r>
      <w:r w:rsidR="00807DD2">
        <w:rPr>
          <w:rFonts w:ascii="Garamond" w:hAnsi="Garamond"/>
          <w:bCs/>
          <w:snapToGrid w:val="0"/>
          <w:sz w:val="24"/>
          <w:szCs w:val="24"/>
        </w:rPr>
        <w:t>material</w:t>
      </w:r>
      <w:r w:rsidR="001538D8">
        <w:rPr>
          <w:rFonts w:ascii="Garamond" w:hAnsi="Garamond"/>
          <w:bCs/>
          <w:snapToGrid w:val="0"/>
          <w:sz w:val="24"/>
          <w:szCs w:val="24"/>
        </w:rPr>
        <w:t xml:space="preserve">); </w:t>
      </w:r>
      <w:r w:rsidR="00224A07" w:rsidRPr="00C75745">
        <w:rPr>
          <w:rFonts w:ascii="Garamond" w:hAnsi="Garamond"/>
          <w:bCs/>
          <w:i/>
          <w:iCs/>
          <w:snapToGrid w:val="0"/>
          <w:sz w:val="24"/>
          <w:szCs w:val="24"/>
        </w:rPr>
        <w:t>In re Marriage of Piske</w:t>
      </w:r>
      <w:r w:rsidR="00224A07" w:rsidRPr="00DA67B6">
        <w:rPr>
          <w:rFonts w:ascii="Garamond" w:hAnsi="Garamond"/>
          <w:bCs/>
          <w:snapToGrid w:val="0"/>
          <w:sz w:val="24"/>
          <w:szCs w:val="24"/>
        </w:rPr>
        <w:t xml:space="preserve">, 578 S.W.3d </w:t>
      </w:r>
      <w:r w:rsidR="00224A07">
        <w:rPr>
          <w:rFonts w:ascii="Garamond" w:hAnsi="Garamond"/>
          <w:bCs/>
          <w:snapToGrid w:val="0"/>
          <w:sz w:val="24"/>
          <w:szCs w:val="24"/>
        </w:rPr>
        <w:t>at</w:t>
      </w:r>
      <w:r w:rsidR="00224A07" w:rsidRPr="00DA67B6">
        <w:rPr>
          <w:rFonts w:ascii="Garamond" w:hAnsi="Garamond"/>
          <w:bCs/>
          <w:snapToGrid w:val="0"/>
          <w:sz w:val="24"/>
          <w:szCs w:val="24"/>
        </w:rPr>
        <w:t xml:space="preserve"> 629 (</w:t>
      </w:r>
      <w:r w:rsidR="00224A07">
        <w:rPr>
          <w:rFonts w:ascii="Garamond" w:hAnsi="Garamond"/>
          <w:bCs/>
          <w:snapToGrid w:val="0"/>
          <w:sz w:val="24"/>
          <w:szCs w:val="24"/>
        </w:rPr>
        <w:t xml:space="preserve">arbitrator’s professional relationship </w:t>
      </w:r>
      <w:r w:rsidR="00C96B06">
        <w:rPr>
          <w:rFonts w:ascii="Garamond" w:hAnsi="Garamond"/>
          <w:bCs/>
          <w:snapToGrid w:val="0"/>
          <w:sz w:val="24"/>
          <w:szCs w:val="24"/>
        </w:rPr>
        <w:t xml:space="preserve">with party’s attorney </w:t>
      </w:r>
      <w:r w:rsidR="00224A07">
        <w:rPr>
          <w:rFonts w:ascii="Garamond" w:hAnsi="Garamond"/>
          <w:bCs/>
          <w:snapToGrid w:val="0"/>
          <w:sz w:val="24"/>
          <w:szCs w:val="24"/>
        </w:rPr>
        <w:t xml:space="preserve">was not trivial when he previously arbitrated and mediated cases for one of the parties); </w:t>
      </w:r>
      <w:r w:rsidR="00224A07" w:rsidRPr="00C87A61">
        <w:rPr>
          <w:rFonts w:ascii="Garamond" w:hAnsi="Garamond"/>
          <w:bCs/>
          <w:i/>
          <w:iCs/>
          <w:snapToGrid w:val="0"/>
          <w:sz w:val="24"/>
          <w:szCs w:val="24"/>
        </w:rPr>
        <w:t>Builders First Source-South Tex., LP v. Ortiz</w:t>
      </w:r>
      <w:r w:rsidR="00224A07" w:rsidRPr="00C87A61">
        <w:rPr>
          <w:rFonts w:ascii="Garamond" w:hAnsi="Garamond"/>
          <w:bCs/>
          <w:snapToGrid w:val="0"/>
          <w:sz w:val="24"/>
          <w:szCs w:val="24"/>
        </w:rPr>
        <w:t>, 515 S.W.3d 451, 458 (Tex. App.—Houston [14th Dist.] 2017, pet. denied)</w:t>
      </w:r>
      <w:r w:rsidR="00224A07">
        <w:rPr>
          <w:rFonts w:ascii="Garamond" w:hAnsi="Garamond"/>
          <w:bCs/>
          <w:snapToGrid w:val="0"/>
          <w:sz w:val="24"/>
          <w:szCs w:val="24"/>
        </w:rPr>
        <w:t xml:space="preserve"> (“</w:t>
      </w:r>
      <w:r w:rsidR="00224A07" w:rsidRPr="005A5AFF">
        <w:rPr>
          <w:rFonts w:ascii="Garamond" w:hAnsi="Garamond"/>
          <w:bCs/>
          <w:snapToGrid w:val="0"/>
          <w:sz w:val="24"/>
          <w:szCs w:val="24"/>
        </w:rPr>
        <w:t xml:space="preserve">the fact that </w:t>
      </w:r>
      <w:r w:rsidR="00224A07">
        <w:rPr>
          <w:rFonts w:ascii="Garamond" w:hAnsi="Garamond"/>
          <w:bCs/>
          <w:snapToGrid w:val="0"/>
          <w:sz w:val="24"/>
          <w:szCs w:val="24"/>
        </w:rPr>
        <w:t>[party’s]</w:t>
      </w:r>
      <w:r w:rsidR="00224A07" w:rsidRPr="005A5AFF">
        <w:rPr>
          <w:rFonts w:ascii="Garamond" w:hAnsi="Garamond"/>
          <w:bCs/>
          <w:snapToGrid w:val="0"/>
          <w:sz w:val="24"/>
          <w:szCs w:val="24"/>
        </w:rPr>
        <w:t xml:space="preserve"> counsel had appeared twice before the arbitrator in the past was not a trivial matter</w:t>
      </w:r>
      <w:r w:rsidR="00224A07">
        <w:rPr>
          <w:rFonts w:ascii="Garamond" w:hAnsi="Garamond"/>
          <w:bCs/>
          <w:snapToGrid w:val="0"/>
          <w:sz w:val="24"/>
          <w:szCs w:val="24"/>
        </w:rPr>
        <w:t>”);</w:t>
      </w:r>
      <w:r w:rsidR="00F666D9">
        <w:rPr>
          <w:rFonts w:ascii="Garamond" w:hAnsi="Garamond"/>
          <w:bCs/>
          <w:snapToGrid w:val="0"/>
          <w:sz w:val="24"/>
          <w:szCs w:val="24"/>
        </w:rPr>
        <w:t xml:space="preserve"> </w:t>
      </w:r>
      <w:r w:rsidR="00F666D9" w:rsidRPr="00F666D9">
        <w:rPr>
          <w:rFonts w:ascii="Garamond" w:hAnsi="Garamond"/>
          <w:bCs/>
          <w:i/>
          <w:iCs/>
          <w:snapToGrid w:val="0"/>
          <w:sz w:val="24"/>
          <w:szCs w:val="24"/>
        </w:rPr>
        <w:t>Hous. Vill. Builders v. Falbaum</w:t>
      </w:r>
      <w:r w:rsidR="00F666D9" w:rsidRPr="00F666D9">
        <w:rPr>
          <w:rFonts w:ascii="Garamond" w:hAnsi="Garamond"/>
          <w:bCs/>
          <w:snapToGrid w:val="0"/>
          <w:sz w:val="24"/>
          <w:szCs w:val="24"/>
        </w:rPr>
        <w:t>, 105 S.W.3d 28, 32 (Tex. App.—Houston [14th Dist.] 2003, pet. denied)</w:t>
      </w:r>
      <w:r w:rsidR="00F666D9">
        <w:rPr>
          <w:rFonts w:ascii="Garamond" w:hAnsi="Garamond"/>
          <w:bCs/>
          <w:snapToGrid w:val="0"/>
          <w:sz w:val="24"/>
          <w:szCs w:val="24"/>
        </w:rPr>
        <w:t xml:space="preserve"> (arbitrator’s representation of association of home builders was a material relationship that required disclosure in arbitration between home builders</w:t>
      </w:r>
      <w:r w:rsidR="005B595E">
        <w:rPr>
          <w:rFonts w:ascii="Garamond" w:hAnsi="Garamond"/>
          <w:bCs/>
          <w:snapToGrid w:val="0"/>
          <w:sz w:val="24"/>
          <w:szCs w:val="24"/>
        </w:rPr>
        <w:t xml:space="preserve">); </w:t>
      </w:r>
      <w:r w:rsidR="005B595E" w:rsidRPr="005B595E">
        <w:rPr>
          <w:rFonts w:ascii="Garamond" w:hAnsi="Garamond"/>
          <w:bCs/>
          <w:i/>
          <w:iCs/>
          <w:snapToGrid w:val="0"/>
          <w:sz w:val="24"/>
          <w:szCs w:val="24"/>
        </w:rPr>
        <w:t>see also Alim v. KBR (Kellogg, Brown &amp; Root) - Halliburton</w:t>
      </w:r>
      <w:r w:rsidR="005B595E" w:rsidRPr="005B595E">
        <w:rPr>
          <w:rFonts w:ascii="Garamond" w:hAnsi="Garamond"/>
          <w:bCs/>
          <w:snapToGrid w:val="0"/>
          <w:sz w:val="24"/>
          <w:szCs w:val="24"/>
        </w:rPr>
        <w:t>, 331 S.W.3d 178, 182 (Tex. App.—Dallas 2011, no pet.) (the fact that arbitrator failed to disclose that he had served as an arbitrator in prior case involving a representative of a party and a related company was not a trivial matter).</w:t>
      </w:r>
    </w:p>
    <w:p w14:paraId="12F1C8FA" w14:textId="0B2D1030" w:rsidR="00F26668" w:rsidRDefault="005A19E8" w:rsidP="00907CD2">
      <w:pPr>
        <w:spacing w:line="480" w:lineRule="auto"/>
        <w:ind w:firstLine="720"/>
        <w:jc w:val="both"/>
        <w:rPr>
          <w:rFonts w:ascii="Garamond" w:hAnsi="Garamond"/>
          <w:bCs/>
          <w:snapToGrid w:val="0"/>
          <w:sz w:val="24"/>
          <w:szCs w:val="24"/>
        </w:rPr>
      </w:pPr>
      <w:r>
        <w:rPr>
          <w:rFonts w:ascii="Garamond" w:hAnsi="Garamond"/>
          <w:bCs/>
          <w:snapToGrid w:val="0"/>
          <w:sz w:val="24"/>
          <w:szCs w:val="24"/>
        </w:rPr>
        <w:t>It matters not that the information not disclosed could have been found sooner because the Texas Supreme Court has</w:t>
      </w:r>
      <w:r w:rsidR="0000497C">
        <w:rPr>
          <w:rFonts w:ascii="Garamond" w:hAnsi="Garamond"/>
          <w:bCs/>
          <w:snapToGrid w:val="0"/>
          <w:sz w:val="24"/>
          <w:szCs w:val="24"/>
        </w:rPr>
        <w:t xml:space="preserve"> “</w:t>
      </w:r>
      <w:r w:rsidR="0000497C" w:rsidRPr="00CE24B9">
        <w:rPr>
          <w:rFonts w:ascii="Garamond" w:hAnsi="Garamond"/>
          <w:bCs/>
          <w:snapToGrid w:val="0"/>
          <w:sz w:val="24"/>
          <w:szCs w:val="24"/>
        </w:rPr>
        <w:t>expressly declined to consider whether parties to an arbitration have a duty to investigate.</w:t>
      </w:r>
      <w:r w:rsidR="0000497C">
        <w:rPr>
          <w:rFonts w:ascii="Garamond" w:hAnsi="Garamond"/>
          <w:bCs/>
          <w:snapToGrid w:val="0"/>
          <w:sz w:val="24"/>
          <w:szCs w:val="24"/>
        </w:rPr>
        <w:t xml:space="preserve">” </w:t>
      </w:r>
      <w:r w:rsidR="0000497C" w:rsidRPr="00F666D9">
        <w:rPr>
          <w:rFonts w:ascii="Garamond" w:hAnsi="Garamond"/>
          <w:bCs/>
          <w:i/>
          <w:iCs/>
          <w:snapToGrid w:val="0"/>
          <w:sz w:val="24"/>
          <w:szCs w:val="24"/>
        </w:rPr>
        <w:t>Hous. Vill. Builders</w:t>
      </w:r>
      <w:r w:rsidR="0000497C" w:rsidRPr="00F666D9">
        <w:rPr>
          <w:rFonts w:ascii="Garamond" w:hAnsi="Garamond"/>
          <w:bCs/>
          <w:snapToGrid w:val="0"/>
          <w:sz w:val="24"/>
          <w:szCs w:val="24"/>
        </w:rPr>
        <w:t xml:space="preserve">, 105 S.W.3d </w:t>
      </w:r>
      <w:r w:rsidR="0000497C">
        <w:rPr>
          <w:rFonts w:ascii="Garamond" w:hAnsi="Garamond"/>
          <w:bCs/>
          <w:snapToGrid w:val="0"/>
          <w:sz w:val="24"/>
          <w:szCs w:val="24"/>
        </w:rPr>
        <w:t>at</w:t>
      </w:r>
      <w:r w:rsidR="0000497C" w:rsidRPr="00F666D9">
        <w:rPr>
          <w:rFonts w:ascii="Garamond" w:hAnsi="Garamond"/>
          <w:bCs/>
          <w:snapToGrid w:val="0"/>
          <w:sz w:val="24"/>
          <w:szCs w:val="24"/>
        </w:rPr>
        <w:t xml:space="preserve"> 32</w:t>
      </w:r>
      <w:r w:rsidR="0000497C">
        <w:rPr>
          <w:rFonts w:ascii="Garamond" w:hAnsi="Garamond"/>
          <w:bCs/>
          <w:snapToGrid w:val="0"/>
          <w:sz w:val="24"/>
          <w:szCs w:val="24"/>
        </w:rPr>
        <w:t xml:space="preserve"> (citing </w:t>
      </w:r>
      <w:r w:rsidR="0000497C" w:rsidRPr="0000497C">
        <w:rPr>
          <w:rFonts w:ascii="Garamond" w:hAnsi="Garamond"/>
          <w:bCs/>
          <w:i/>
          <w:iCs/>
          <w:snapToGrid w:val="0"/>
          <w:sz w:val="24"/>
          <w:szCs w:val="24"/>
        </w:rPr>
        <w:t>Mariner Fin. Grp. v. Bossley</w:t>
      </w:r>
      <w:r w:rsidR="0000497C" w:rsidRPr="0000497C">
        <w:rPr>
          <w:rFonts w:ascii="Garamond" w:hAnsi="Garamond"/>
          <w:bCs/>
          <w:snapToGrid w:val="0"/>
          <w:sz w:val="24"/>
          <w:szCs w:val="24"/>
        </w:rPr>
        <w:t>, 79 S.W.3d 30, 33 (Tex. 2002)</w:t>
      </w:r>
      <w:r w:rsidR="00D64588">
        <w:rPr>
          <w:rFonts w:ascii="Garamond" w:hAnsi="Garamond"/>
          <w:bCs/>
          <w:snapToGrid w:val="0"/>
          <w:sz w:val="24"/>
          <w:szCs w:val="24"/>
        </w:rPr>
        <w:t>)</w:t>
      </w:r>
      <w:r w:rsidR="00907CD2">
        <w:rPr>
          <w:rFonts w:ascii="Garamond" w:hAnsi="Garamond"/>
          <w:bCs/>
          <w:snapToGrid w:val="0"/>
          <w:sz w:val="24"/>
          <w:szCs w:val="24"/>
        </w:rPr>
        <w:t xml:space="preserve">; </w:t>
      </w:r>
      <w:r w:rsidR="00907CD2" w:rsidRPr="00907CD2">
        <w:rPr>
          <w:rFonts w:ascii="Garamond" w:hAnsi="Garamond"/>
          <w:bCs/>
          <w:i/>
          <w:iCs/>
          <w:snapToGrid w:val="0"/>
          <w:sz w:val="24"/>
          <w:szCs w:val="24"/>
        </w:rPr>
        <w:t>Sharifan v. Kelley</w:t>
      </w:r>
      <w:r w:rsidR="00907CD2" w:rsidRPr="00907CD2">
        <w:rPr>
          <w:rFonts w:ascii="Garamond" w:hAnsi="Garamond"/>
          <w:bCs/>
          <w:snapToGrid w:val="0"/>
          <w:sz w:val="24"/>
          <w:szCs w:val="24"/>
        </w:rPr>
        <w:t>, No. 14-20-00197-CV, 2022 Tex. App. LEXIS 2422, at *13 (Tex. App.—Houston [14th Dist.] Apr. 14, 2022, pet. denied)</w:t>
      </w:r>
      <w:r w:rsidR="00D64588">
        <w:rPr>
          <w:rFonts w:ascii="Garamond" w:hAnsi="Garamond"/>
          <w:bCs/>
          <w:snapToGrid w:val="0"/>
          <w:sz w:val="24"/>
          <w:szCs w:val="24"/>
        </w:rPr>
        <w:t xml:space="preserve"> </w:t>
      </w:r>
      <w:r w:rsidR="00907CD2">
        <w:rPr>
          <w:rFonts w:ascii="Garamond" w:hAnsi="Garamond"/>
          <w:bCs/>
          <w:snapToGrid w:val="0"/>
          <w:sz w:val="24"/>
          <w:szCs w:val="24"/>
        </w:rPr>
        <w:t>(“</w:t>
      </w:r>
      <w:r w:rsidR="00907CD2" w:rsidRPr="00907CD2">
        <w:rPr>
          <w:rFonts w:ascii="Garamond" w:hAnsi="Garamond"/>
          <w:bCs/>
          <w:snapToGrid w:val="0"/>
          <w:sz w:val="24"/>
          <w:szCs w:val="24"/>
        </w:rPr>
        <w:t>we have found no case in which a Texas court determined whether an arbitrating party waives an arbitrator's conflict if the party fails to investigate the arbitrator's background.</w:t>
      </w:r>
      <w:r w:rsidR="00907CD2">
        <w:rPr>
          <w:rFonts w:ascii="Garamond" w:hAnsi="Garamond"/>
          <w:bCs/>
          <w:snapToGrid w:val="0"/>
          <w:sz w:val="24"/>
          <w:szCs w:val="24"/>
        </w:rPr>
        <w:t xml:space="preserve">”). Rather, </w:t>
      </w:r>
      <w:r w:rsidR="00BF0111">
        <w:rPr>
          <w:rFonts w:ascii="Garamond" w:hAnsi="Garamond"/>
          <w:bCs/>
          <w:snapToGrid w:val="0"/>
          <w:sz w:val="24"/>
          <w:szCs w:val="24"/>
        </w:rPr>
        <w:t>“</w:t>
      </w:r>
      <w:r w:rsidR="00907CD2">
        <w:rPr>
          <w:rFonts w:ascii="Garamond" w:hAnsi="Garamond"/>
          <w:bCs/>
          <w:snapToGrid w:val="0"/>
          <w:sz w:val="24"/>
          <w:szCs w:val="24"/>
        </w:rPr>
        <w:t>d</w:t>
      </w:r>
      <w:r w:rsidR="00BF0111" w:rsidRPr="00BF0111">
        <w:rPr>
          <w:rFonts w:ascii="Garamond" w:hAnsi="Garamond"/>
          <w:bCs/>
          <w:snapToGrid w:val="0"/>
          <w:sz w:val="24"/>
          <w:szCs w:val="24"/>
        </w:rPr>
        <w:t>etermining whether an arbitrator satisfied the disclosure duty does not turn on what facts are available to the complaining party</w:t>
      </w:r>
      <w:r w:rsidR="00BF0111">
        <w:rPr>
          <w:rFonts w:ascii="Garamond" w:hAnsi="Garamond"/>
          <w:bCs/>
          <w:snapToGrid w:val="0"/>
          <w:sz w:val="24"/>
          <w:szCs w:val="24"/>
        </w:rPr>
        <w:t xml:space="preserve">[.]” </w:t>
      </w:r>
      <w:r w:rsidR="00907CD2" w:rsidRPr="00F666D9">
        <w:rPr>
          <w:rFonts w:ascii="Garamond" w:hAnsi="Garamond"/>
          <w:bCs/>
          <w:i/>
          <w:iCs/>
          <w:snapToGrid w:val="0"/>
          <w:sz w:val="24"/>
          <w:szCs w:val="24"/>
        </w:rPr>
        <w:t xml:space="preserve">Hous. Vill. </w:t>
      </w:r>
      <w:r w:rsidR="00907CD2" w:rsidRPr="00F666D9">
        <w:rPr>
          <w:rFonts w:ascii="Garamond" w:hAnsi="Garamond"/>
          <w:bCs/>
          <w:i/>
          <w:iCs/>
          <w:snapToGrid w:val="0"/>
          <w:sz w:val="24"/>
          <w:szCs w:val="24"/>
        </w:rPr>
        <w:lastRenderedPageBreak/>
        <w:t>Builders</w:t>
      </w:r>
      <w:r w:rsidR="00907CD2" w:rsidRPr="00F666D9">
        <w:rPr>
          <w:rFonts w:ascii="Garamond" w:hAnsi="Garamond"/>
          <w:bCs/>
          <w:snapToGrid w:val="0"/>
          <w:sz w:val="24"/>
          <w:szCs w:val="24"/>
        </w:rPr>
        <w:t xml:space="preserve">, 105 S.W.3d </w:t>
      </w:r>
      <w:r w:rsidR="00907CD2">
        <w:rPr>
          <w:rFonts w:ascii="Garamond" w:hAnsi="Garamond"/>
          <w:bCs/>
          <w:snapToGrid w:val="0"/>
          <w:sz w:val="24"/>
          <w:szCs w:val="24"/>
        </w:rPr>
        <w:t>at</w:t>
      </w:r>
      <w:r w:rsidR="00907CD2" w:rsidRPr="00F666D9">
        <w:rPr>
          <w:rFonts w:ascii="Garamond" w:hAnsi="Garamond"/>
          <w:bCs/>
          <w:snapToGrid w:val="0"/>
          <w:sz w:val="24"/>
          <w:szCs w:val="24"/>
        </w:rPr>
        <w:t xml:space="preserve"> 32</w:t>
      </w:r>
      <w:r w:rsidR="00907CD2">
        <w:rPr>
          <w:rFonts w:ascii="Garamond" w:hAnsi="Garamond"/>
          <w:bCs/>
          <w:snapToGrid w:val="0"/>
          <w:sz w:val="24"/>
          <w:szCs w:val="24"/>
        </w:rPr>
        <w:t xml:space="preserve">. Therefore, </w:t>
      </w:r>
      <w:r w:rsidR="00094060">
        <w:rPr>
          <w:rFonts w:ascii="Garamond" w:hAnsi="Garamond"/>
          <w:bCs/>
          <w:snapToGrid w:val="0"/>
          <w:sz w:val="24"/>
          <w:szCs w:val="24"/>
        </w:rPr>
        <w:t>“</w:t>
      </w:r>
      <w:r w:rsidR="00907CD2">
        <w:rPr>
          <w:rFonts w:ascii="Garamond" w:hAnsi="Garamond"/>
          <w:bCs/>
          <w:snapToGrid w:val="0"/>
          <w:sz w:val="24"/>
          <w:szCs w:val="24"/>
        </w:rPr>
        <w:t>r</w:t>
      </w:r>
      <w:r w:rsidR="00094060" w:rsidRPr="00094060">
        <w:rPr>
          <w:rFonts w:ascii="Garamond" w:hAnsi="Garamond"/>
          <w:bCs/>
          <w:snapToGrid w:val="0"/>
          <w:sz w:val="24"/>
          <w:szCs w:val="24"/>
        </w:rPr>
        <w:t xml:space="preserve">egardless of whether the </w:t>
      </w:r>
      <w:r w:rsidR="00C573CF">
        <w:rPr>
          <w:rFonts w:ascii="Garamond" w:hAnsi="Garamond"/>
          <w:bCs/>
          <w:snapToGrid w:val="0"/>
          <w:sz w:val="24"/>
          <w:szCs w:val="24"/>
        </w:rPr>
        <w:t>[Allisons]</w:t>
      </w:r>
      <w:r w:rsidR="00094060" w:rsidRPr="00094060">
        <w:rPr>
          <w:rFonts w:ascii="Garamond" w:hAnsi="Garamond"/>
          <w:bCs/>
          <w:snapToGrid w:val="0"/>
          <w:sz w:val="24"/>
          <w:szCs w:val="24"/>
        </w:rPr>
        <w:t xml:space="preserve"> knew or should have known of the Arbitrator's relationship with </w:t>
      </w:r>
      <w:r w:rsidR="00FB074B">
        <w:rPr>
          <w:rFonts w:ascii="Garamond" w:hAnsi="Garamond"/>
          <w:bCs/>
          <w:snapToGrid w:val="0"/>
          <w:sz w:val="24"/>
          <w:szCs w:val="24"/>
        </w:rPr>
        <w:t xml:space="preserve">[an attorney </w:t>
      </w:r>
      <w:r w:rsidR="00231604">
        <w:rPr>
          <w:rFonts w:ascii="Garamond" w:hAnsi="Garamond"/>
          <w:bCs/>
          <w:snapToGrid w:val="0"/>
          <w:sz w:val="24"/>
          <w:szCs w:val="24"/>
        </w:rPr>
        <w:t>and partner at</w:t>
      </w:r>
      <w:r w:rsidR="00FB074B">
        <w:rPr>
          <w:rFonts w:ascii="Garamond" w:hAnsi="Garamond"/>
          <w:bCs/>
          <w:snapToGrid w:val="0"/>
          <w:sz w:val="24"/>
          <w:szCs w:val="24"/>
        </w:rPr>
        <w:t xml:space="preserve"> the Collins Law Group]</w:t>
      </w:r>
      <w:r w:rsidR="00094060" w:rsidRPr="00094060">
        <w:rPr>
          <w:rFonts w:ascii="Garamond" w:hAnsi="Garamond"/>
          <w:bCs/>
          <w:snapToGrid w:val="0"/>
          <w:sz w:val="24"/>
          <w:szCs w:val="24"/>
        </w:rPr>
        <w:t>, the Arbitrator's failure to disclose this relationship is evidence of h</w:t>
      </w:r>
      <w:r w:rsidR="00C573CF">
        <w:rPr>
          <w:rFonts w:ascii="Garamond" w:hAnsi="Garamond"/>
          <w:bCs/>
          <w:snapToGrid w:val="0"/>
          <w:sz w:val="24"/>
          <w:szCs w:val="24"/>
        </w:rPr>
        <w:t>[er]</w:t>
      </w:r>
      <w:r w:rsidR="00094060" w:rsidRPr="00094060">
        <w:rPr>
          <w:rFonts w:ascii="Garamond" w:hAnsi="Garamond"/>
          <w:bCs/>
          <w:snapToGrid w:val="0"/>
          <w:sz w:val="24"/>
          <w:szCs w:val="24"/>
        </w:rPr>
        <w:t xml:space="preserve"> partiality.</w:t>
      </w:r>
      <w:r w:rsidR="00C573CF">
        <w:rPr>
          <w:rFonts w:ascii="Garamond" w:hAnsi="Garamond"/>
          <w:bCs/>
          <w:snapToGrid w:val="0"/>
          <w:sz w:val="24"/>
          <w:szCs w:val="24"/>
        </w:rPr>
        <w:t xml:space="preserve">” </w:t>
      </w:r>
      <w:r w:rsidR="00C573CF" w:rsidRPr="00C573CF">
        <w:rPr>
          <w:rFonts w:ascii="Garamond" w:hAnsi="Garamond"/>
          <w:bCs/>
          <w:i/>
          <w:iCs/>
          <w:snapToGrid w:val="0"/>
          <w:sz w:val="24"/>
          <w:szCs w:val="24"/>
        </w:rPr>
        <w:t>Id.</w:t>
      </w:r>
      <w:r w:rsidR="00C573CF">
        <w:rPr>
          <w:rFonts w:ascii="Garamond" w:hAnsi="Garamond"/>
          <w:bCs/>
          <w:snapToGrid w:val="0"/>
          <w:sz w:val="24"/>
          <w:szCs w:val="24"/>
        </w:rPr>
        <w:t xml:space="preserve"> </w:t>
      </w:r>
    </w:p>
    <w:p w14:paraId="5A4C6FBD" w14:textId="2672EAE0" w:rsidR="00862DB2" w:rsidRDefault="007C3556" w:rsidP="00862DB2">
      <w:pPr>
        <w:spacing w:line="480" w:lineRule="auto"/>
        <w:ind w:firstLine="720"/>
        <w:jc w:val="both"/>
        <w:rPr>
          <w:rFonts w:ascii="Garamond" w:hAnsi="Garamond"/>
          <w:bCs/>
          <w:snapToGrid w:val="0"/>
          <w:sz w:val="24"/>
          <w:szCs w:val="24"/>
        </w:rPr>
      </w:pPr>
      <w:r>
        <w:rPr>
          <w:rFonts w:ascii="Garamond" w:hAnsi="Garamond"/>
          <w:bCs/>
          <w:snapToGrid w:val="0"/>
          <w:sz w:val="24"/>
          <w:szCs w:val="24"/>
        </w:rPr>
        <w:t xml:space="preserve">Because Ashby failed to </w:t>
      </w:r>
      <w:r w:rsidR="005B595E">
        <w:rPr>
          <w:rFonts w:ascii="Garamond" w:hAnsi="Garamond"/>
          <w:bCs/>
          <w:snapToGrid w:val="0"/>
          <w:sz w:val="24"/>
          <w:szCs w:val="24"/>
        </w:rPr>
        <w:t xml:space="preserve">fully </w:t>
      </w:r>
      <w:r>
        <w:rPr>
          <w:rFonts w:ascii="Garamond" w:hAnsi="Garamond"/>
          <w:bCs/>
          <w:snapToGrid w:val="0"/>
          <w:sz w:val="24"/>
          <w:szCs w:val="24"/>
        </w:rPr>
        <w:t xml:space="preserve">disclose her </w:t>
      </w:r>
      <w:r w:rsidR="005B595E">
        <w:rPr>
          <w:rFonts w:ascii="Garamond" w:hAnsi="Garamond"/>
          <w:bCs/>
          <w:snapToGrid w:val="0"/>
          <w:sz w:val="24"/>
          <w:szCs w:val="24"/>
        </w:rPr>
        <w:t xml:space="preserve">relationship with Collins and Staubus and </w:t>
      </w:r>
      <w:r w:rsidR="003E000F">
        <w:rPr>
          <w:rFonts w:ascii="Garamond" w:hAnsi="Garamond"/>
          <w:bCs/>
          <w:snapToGrid w:val="0"/>
          <w:sz w:val="24"/>
          <w:szCs w:val="24"/>
        </w:rPr>
        <w:t xml:space="preserve">completely </w:t>
      </w:r>
      <w:r w:rsidR="005B595E">
        <w:rPr>
          <w:rFonts w:ascii="Garamond" w:hAnsi="Garamond"/>
          <w:bCs/>
          <w:snapToGrid w:val="0"/>
          <w:sz w:val="24"/>
          <w:szCs w:val="24"/>
        </w:rPr>
        <w:t xml:space="preserve">concealed her </w:t>
      </w:r>
      <w:r>
        <w:rPr>
          <w:rFonts w:ascii="Garamond" w:hAnsi="Garamond"/>
          <w:bCs/>
          <w:snapToGrid w:val="0"/>
          <w:sz w:val="24"/>
          <w:szCs w:val="24"/>
        </w:rPr>
        <w:t xml:space="preserve">professional relationship with </w:t>
      </w:r>
      <w:r w:rsidR="005B595E">
        <w:rPr>
          <w:rFonts w:ascii="Garamond" w:hAnsi="Garamond"/>
          <w:bCs/>
          <w:snapToGrid w:val="0"/>
          <w:sz w:val="24"/>
          <w:szCs w:val="24"/>
        </w:rPr>
        <w:t xml:space="preserve">Besly, </w:t>
      </w:r>
      <w:r w:rsidR="00FB074B">
        <w:rPr>
          <w:rFonts w:ascii="Garamond" w:hAnsi="Garamond"/>
          <w:bCs/>
          <w:snapToGrid w:val="0"/>
          <w:sz w:val="24"/>
          <w:szCs w:val="24"/>
        </w:rPr>
        <w:t xml:space="preserve">an attorney </w:t>
      </w:r>
      <w:r w:rsidR="003E000F">
        <w:rPr>
          <w:rFonts w:ascii="Garamond" w:hAnsi="Garamond"/>
          <w:bCs/>
          <w:snapToGrid w:val="0"/>
          <w:sz w:val="24"/>
          <w:szCs w:val="24"/>
        </w:rPr>
        <w:t>and partner at</w:t>
      </w:r>
      <w:r w:rsidR="00FB074B">
        <w:rPr>
          <w:rFonts w:ascii="Garamond" w:hAnsi="Garamond"/>
          <w:bCs/>
          <w:snapToGrid w:val="0"/>
          <w:sz w:val="24"/>
          <w:szCs w:val="24"/>
        </w:rPr>
        <w:t xml:space="preserve"> the Collins Law Group</w:t>
      </w:r>
      <w:r>
        <w:rPr>
          <w:rFonts w:ascii="Garamond" w:hAnsi="Garamond"/>
          <w:bCs/>
          <w:snapToGrid w:val="0"/>
          <w:sz w:val="24"/>
          <w:szCs w:val="24"/>
        </w:rPr>
        <w:t xml:space="preserve">, </w:t>
      </w:r>
      <w:r w:rsidR="000B10A6">
        <w:rPr>
          <w:rFonts w:ascii="Garamond" w:hAnsi="Garamond"/>
          <w:bCs/>
          <w:snapToGrid w:val="0"/>
          <w:sz w:val="24"/>
          <w:szCs w:val="24"/>
        </w:rPr>
        <w:t xml:space="preserve">and </w:t>
      </w:r>
      <w:r>
        <w:rPr>
          <w:rFonts w:ascii="Garamond" w:hAnsi="Garamond"/>
          <w:bCs/>
          <w:snapToGrid w:val="0"/>
          <w:sz w:val="24"/>
          <w:szCs w:val="24"/>
        </w:rPr>
        <w:t xml:space="preserve">a witness adverse to the Allisons, </w:t>
      </w:r>
      <w:r w:rsidR="00E33D41">
        <w:rPr>
          <w:rFonts w:ascii="Garamond" w:hAnsi="Garamond"/>
          <w:bCs/>
          <w:snapToGrid w:val="0"/>
          <w:sz w:val="24"/>
          <w:szCs w:val="24"/>
        </w:rPr>
        <w:t>evident partiality is demonstrated “</w:t>
      </w:r>
      <w:r w:rsidR="00E33D41" w:rsidRPr="00A45ED4">
        <w:rPr>
          <w:rFonts w:ascii="Garamond" w:hAnsi="Garamond"/>
          <w:bCs/>
          <w:snapToGrid w:val="0"/>
          <w:sz w:val="24"/>
          <w:szCs w:val="24"/>
        </w:rPr>
        <w:t>regardless of whether the nondisclosed information necessarily establishes partiality or bias.</w:t>
      </w:r>
      <w:r w:rsidR="00E33D41">
        <w:rPr>
          <w:rFonts w:ascii="Garamond" w:hAnsi="Garamond"/>
          <w:bCs/>
          <w:snapToGrid w:val="0"/>
          <w:sz w:val="24"/>
          <w:szCs w:val="24"/>
        </w:rPr>
        <w:t>”</w:t>
      </w:r>
      <w:r w:rsidR="00E33D41" w:rsidRPr="00A45ED4">
        <w:rPr>
          <w:rFonts w:ascii="Garamond" w:hAnsi="Garamond"/>
          <w:bCs/>
          <w:snapToGrid w:val="0"/>
          <w:sz w:val="24"/>
          <w:szCs w:val="24"/>
        </w:rPr>
        <w:t xml:space="preserve"> </w:t>
      </w:r>
      <w:r w:rsidR="00E33D41" w:rsidRPr="00560C99">
        <w:rPr>
          <w:rFonts w:ascii="Garamond" w:hAnsi="Garamond"/>
          <w:bCs/>
          <w:i/>
          <w:iCs/>
          <w:snapToGrid w:val="0"/>
          <w:sz w:val="24"/>
          <w:szCs w:val="24"/>
        </w:rPr>
        <w:t>TUCO Inc.</w:t>
      </w:r>
      <w:r w:rsidR="00E33D41" w:rsidRPr="00A45ED4">
        <w:rPr>
          <w:rFonts w:ascii="Garamond" w:hAnsi="Garamond"/>
          <w:bCs/>
          <w:snapToGrid w:val="0"/>
          <w:sz w:val="24"/>
          <w:szCs w:val="24"/>
        </w:rPr>
        <w:t>, 960 S.W.2d at 636</w:t>
      </w:r>
      <w:r w:rsidR="00F901C9">
        <w:rPr>
          <w:rFonts w:ascii="Garamond" w:hAnsi="Garamond"/>
          <w:bCs/>
          <w:snapToGrid w:val="0"/>
          <w:sz w:val="24"/>
          <w:szCs w:val="24"/>
        </w:rPr>
        <w:t xml:space="preserve">; </w:t>
      </w:r>
      <w:r w:rsidR="00F901C9" w:rsidRPr="0064368E">
        <w:rPr>
          <w:rFonts w:ascii="Garamond" w:hAnsi="Garamond"/>
          <w:bCs/>
          <w:i/>
          <w:iCs/>
          <w:snapToGrid w:val="0"/>
          <w:sz w:val="24"/>
          <w:szCs w:val="24"/>
        </w:rPr>
        <w:t>Rodas v. La Madeleine of Tex., Inc.</w:t>
      </w:r>
      <w:r w:rsidR="00F901C9" w:rsidRPr="00C61542">
        <w:rPr>
          <w:rFonts w:ascii="Garamond" w:hAnsi="Garamond"/>
          <w:bCs/>
          <w:snapToGrid w:val="0"/>
          <w:sz w:val="24"/>
          <w:szCs w:val="24"/>
        </w:rPr>
        <w:t>, No. 05-14-00054-CV, 2015 Tex. App. LEXIS 3571, at *8 (Tex. App.—Dallas Apr. 10, 2015, pet. denied)</w:t>
      </w:r>
      <w:r w:rsidR="00F901C9">
        <w:rPr>
          <w:rFonts w:ascii="Garamond" w:hAnsi="Garamond"/>
          <w:bCs/>
          <w:snapToGrid w:val="0"/>
          <w:sz w:val="24"/>
          <w:szCs w:val="24"/>
        </w:rPr>
        <w:t xml:space="preserve"> (</w:t>
      </w:r>
      <w:r w:rsidR="008418E1">
        <w:rPr>
          <w:rFonts w:ascii="Garamond" w:hAnsi="Garamond"/>
          <w:bCs/>
          <w:snapToGrid w:val="0"/>
          <w:sz w:val="24"/>
          <w:szCs w:val="24"/>
        </w:rPr>
        <w:t>“</w:t>
      </w:r>
      <w:r w:rsidR="008418E1" w:rsidRPr="00C61542">
        <w:rPr>
          <w:rFonts w:ascii="Garamond" w:hAnsi="Garamond"/>
          <w:bCs/>
          <w:snapToGrid w:val="0"/>
          <w:sz w:val="24"/>
          <w:szCs w:val="24"/>
        </w:rPr>
        <w:t>Undisclosed business dealings between an arbitrator and persons or entities aligned with a party can support an evident partiality finding.</w:t>
      </w:r>
      <w:r w:rsidR="008418E1">
        <w:rPr>
          <w:rFonts w:ascii="Garamond" w:hAnsi="Garamond"/>
          <w:bCs/>
          <w:snapToGrid w:val="0"/>
          <w:sz w:val="24"/>
          <w:szCs w:val="24"/>
        </w:rPr>
        <w:t>”</w:t>
      </w:r>
      <w:r w:rsidR="00F901C9">
        <w:rPr>
          <w:rFonts w:ascii="Garamond" w:hAnsi="Garamond"/>
          <w:bCs/>
          <w:snapToGrid w:val="0"/>
          <w:sz w:val="24"/>
          <w:szCs w:val="24"/>
        </w:rPr>
        <w:t>)</w:t>
      </w:r>
      <w:r w:rsidR="00A978D4">
        <w:rPr>
          <w:rFonts w:ascii="Garamond" w:hAnsi="Garamond"/>
          <w:bCs/>
          <w:snapToGrid w:val="0"/>
          <w:sz w:val="24"/>
          <w:szCs w:val="24"/>
        </w:rPr>
        <w:t xml:space="preserve">. </w:t>
      </w:r>
      <w:r w:rsidR="005A5AFF">
        <w:rPr>
          <w:rFonts w:ascii="Garamond" w:hAnsi="Garamond"/>
          <w:bCs/>
          <w:snapToGrid w:val="0"/>
          <w:sz w:val="24"/>
          <w:szCs w:val="24"/>
        </w:rPr>
        <w:t xml:space="preserve">Had Ashby </w:t>
      </w:r>
      <w:r w:rsidR="005B595E">
        <w:rPr>
          <w:rFonts w:ascii="Garamond" w:hAnsi="Garamond"/>
          <w:bCs/>
          <w:snapToGrid w:val="0"/>
          <w:sz w:val="24"/>
          <w:szCs w:val="24"/>
        </w:rPr>
        <w:t xml:space="preserve">fully </w:t>
      </w:r>
      <w:r w:rsidR="005A5AFF">
        <w:rPr>
          <w:rFonts w:ascii="Garamond" w:hAnsi="Garamond"/>
          <w:bCs/>
          <w:snapToGrid w:val="0"/>
          <w:sz w:val="24"/>
          <w:szCs w:val="24"/>
        </w:rPr>
        <w:t>disclosed her</w:t>
      </w:r>
      <w:r w:rsidR="00862DB2">
        <w:rPr>
          <w:rFonts w:ascii="Garamond" w:hAnsi="Garamond"/>
          <w:bCs/>
          <w:snapToGrid w:val="0"/>
          <w:sz w:val="24"/>
          <w:szCs w:val="24"/>
        </w:rPr>
        <w:t xml:space="preserve"> </w:t>
      </w:r>
      <w:r w:rsidR="005B595E">
        <w:rPr>
          <w:rFonts w:ascii="Garamond" w:hAnsi="Garamond"/>
          <w:bCs/>
          <w:snapToGrid w:val="0"/>
          <w:sz w:val="24"/>
          <w:szCs w:val="24"/>
        </w:rPr>
        <w:t>relationship with Collins and Staubus and disclosed her</w:t>
      </w:r>
      <w:r w:rsidR="005A5AFF">
        <w:rPr>
          <w:rFonts w:ascii="Garamond" w:hAnsi="Garamond"/>
          <w:bCs/>
          <w:snapToGrid w:val="0"/>
          <w:sz w:val="24"/>
          <w:szCs w:val="24"/>
        </w:rPr>
        <w:t xml:space="preserve"> relationship with </w:t>
      </w:r>
      <w:r w:rsidR="00862DB2">
        <w:rPr>
          <w:rFonts w:ascii="Garamond" w:hAnsi="Garamond"/>
          <w:bCs/>
          <w:snapToGrid w:val="0"/>
          <w:sz w:val="24"/>
          <w:szCs w:val="24"/>
        </w:rPr>
        <w:t xml:space="preserve">a </w:t>
      </w:r>
      <w:r w:rsidR="003E000F">
        <w:rPr>
          <w:rFonts w:ascii="Garamond" w:hAnsi="Garamond"/>
          <w:bCs/>
          <w:snapToGrid w:val="0"/>
          <w:sz w:val="24"/>
          <w:szCs w:val="24"/>
        </w:rPr>
        <w:t>partner</w:t>
      </w:r>
      <w:r w:rsidR="00862DB2">
        <w:rPr>
          <w:rFonts w:ascii="Garamond" w:hAnsi="Garamond"/>
          <w:bCs/>
          <w:snapToGrid w:val="0"/>
          <w:sz w:val="24"/>
          <w:szCs w:val="24"/>
        </w:rPr>
        <w:t xml:space="preserve"> from the Collins Law Group</w:t>
      </w:r>
      <w:r w:rsidR="005A5AFF">
        <w:rPr>
          <w:rFonts w:ascii="Garamond" w:hAnsi="Garamond"/>
          <w:bCs/>
          <w:snapToGrid w:val="0"/>
          <w:sz w:val="24"/>
          <w:szCs w:val="24"/>
        </w:rPr>
        <w:t>, the Allisons would have objected and struck Ashby as an arbitrator.</w:t>
      </w:r>
      <w:r w:rsidR="005B595E">
        <w:rPr>
          <w:rFonts w:ascii="Garamond" w:hAnsi="Garamond"/>
          <w:bCs/>
          <w:snapToGrid w:val="0"/>
          <w:sz w:val="24"/>
          <w:szCs w:val="24"/>
        </w:rPr>
        <w:t xml:space="preserve"> Therefore, this bill of review should be granted and the judgment confirming the arbitration award should be vacated.  </w:t>
      </w:r>
    </w:p>
    <w:p w14:paraId="11AD962D" w14:textId="17DF137E" w:rsidR="0008187A" w:rsidRDefault="0008187A" w:rsidP="00862DB2">
      <w:pPr>
        <w:spacing w:line="480" w:lineRule="auto"/>
        <w:ind w:firstLine="720"/>
        <w:jc w:val="both"/>
        <w:rPr>
          <w:rFonts w:ascii="Garamond" w:hAnsi="Garamond"/>
          <w:bCs/>
          <w:snapToGrid w:val="0"/>
          <w:sz w:val="24"/>
          <w:szCs w:val="24"/>
        </w:rPr>
      </w:pPr>
      <w:r>
        <w:rPr>
          <w:rFonts w:ascii="Garamond" w:hAnsi="Garamond"/>
          <w:bCs/>
          <w:snapToGrid w:val="0"/>
          <w:sz w:val="24"/>
          <w:szCs w:val="24"/>
        </w:rPr>
        <w:t>The Allisons had meritorious defenses to the breach of contract and quasi-contractual claims brought by the Lawyers, including:</w:t>
      </w:r>
    </w:p>
    <w:p w14:paraId="1927F885" w14:textId="4F9F4D8F" w:rsidR="0008187A" w:rsidRDefault="0008187A" w:rsidP="00A1452F">
      <w:pPr>
        <w:pStyle w:val="ListParagraph"/>
        <w:numPr>
          <w:ilvl w:val="0"/>
          <w:numId w:val="4"/>
        </w:numPr>
        <w:ind w:right="720"/>
        <w:jc w:val="both"/>
        <w:rPr>
          <w:rFonts w:ascii="Garamond" w:hAnsi="Garamond"/>
          <w:bCs/>
          <w:snapToGrid w:val="0"/>
          <w:sz w:val="24"/>
          <w:szCs w:val="24"/>
        </w:rPr>
      </w:pPr>
      <w:r>
        <w:rPr>
          <w:rFonts w:ascii="Garamond" w:hAnsi="Garamond"/>
          <w:bCs/>
          <w:snapToGrid w:val="0"/>
          <w:sz w:val="24"/>
          <w:szCs w:val="24"/>
        </w:rPr>
        <w:t xml:space="preserve">As to Caroline Allison, the contract was procured by </w:t>
      </w:r>
      <w:r w:rsidRPr="0008187A">
        <w:rPr>
          <w:rFonts w:ascii="Garamond" w:hAnsi="Garamond"/>
          <w:bCs/>
          <w:snapToGrid w:val="0"/>
          <w:sz w:val="24"/>
          <w:szCs w:val="24"/>
        </w:rPr>
        <w:t>means of duress, coercive tactics, and a misrepresentation that likely involve</w:t>
      </w:r>
      <w:r w:rsidR="003E000F">
        <w:rPr>
          <w:rFonts w:ascii="Garamond" w:hAnsi="Garamond"/>
          <w:bCs/>
          <w:snapToGrid w:val="0"/>
          <w:sz w:val="24"/>
          <w:szCs w:val="24"/>
        </w:rPr>
        <w:t>d</w:t>
      </w:r>
      <w:r w:rsidRPr="0008187A">
        <w:rPr>
          <w:rFonts w:ascii="Garamond" w:hAnsi="Garamond"/>
          <w:bCs/>
          <w:snapToGrid w:val="0"/>
          <w:sz w:val="24"/>
          <w:szCs w:val="24"/>
        </w:rPr>
        <w:t xml:space="preserve"> grounds for fraud and estoppel (including equitable estoppel).</w:t>
      </w:r>
    </w:p>
    <w:p w14:paraId="4F907991" w14:textId="77777777" w:rsidR="00A1452F" w:rsidRPr="00A13610" w:rsidRDefault="00A1452F" w:rsidP="00A1452F">
      <w:pPr>
        <w:pStyle w:val="ListParagraph"/>
        <w:ind w:right="720"/>
        <w:jc w:val="both"/>
        <w:rPr>
          <w:rFonts w:ascii="Garamond" w:hAnsi="Garamond"/>
          <w:bCs/>
          <w:snapToGrid w:val="0"/>
          <w:sz w:val="24"/>
          <w:szCs w:val="24"/>
        </w:rPr>
      </w:pPr>
    </w:p>
    <w:p w14:paraId="54C100C0" w14:textId="0BBAD271" w:rsidR="0008187A" w:rsidRDefault="0008187A" w:rsidP="00A1452F">
      <w:pPr>
        <w:pStyle w:val="ListParagraph"/>
        <w:numPr>
          <w:ilvl w:val="0"/>
          <w:numId w:val="4"/>
        </w:numPr>
        <w:ind w:right="720"/>
        <w:jc w:val="both"/>
        <w:rPr>
          <w:rFonts w:ascii="Garamond" w:hAnsi="Garamond"/>
          <w:bCs/>
          <w:snapToGrid w:val="0"/>
          <w:sz w:val="24"/>
          <w:szCs w:val="24"/>
        </w:rPr>
      </w:pPr>
      <w:r>
        <w:rPr>
          <w:rFonts w:ascii="Garamond" w:hAnsi="Garamond"/>
          <w:bCs/>
          <w:snapToGrid w:val="0"/>
          <w:sz w:val="24"/>
          <w:szCs w:val="24"/>
        </w:rPr>
        <w:t>A</w:t>
      </w:r>
      <w:r w:rsidRPr="0008187A">
        <w:rPr>
          <w:rFonts w:ascii="Garamond" w:hAnsi="Garamond"/>
          <w:bCs/>
          <w:snapToGrid w:val="0"/>
          <w:sz w:val="24"/>
          <w:szCs w:val="24"/>
        </w:rPr>
        <w:t xml:space="preserve">ny claims against </w:t>
      </w:r>
      <w:r>
        <w:rPr>
          <w:rFonts w:ascii="Garamond" w:hAnsi="Garamond"/>
          <w:bCs/>
          <w:snapToGrid w:val="0"/>
          <w:sz w:val="24"/>
          <w:szCs w:val="24"/>
        </w:rPr>
        <w:t>the Allisons</w:t>
      </w:r>
      <w:r w:rsidRPr="0008187A">
        <w:rPr>
          <w:rFonts w:ascii="Garamond" w:hAnsi="Garamond"/>
          <w:bCs/>
          <w:snapToGrid w:val="0"/>
          <w:sz w:val="24"/>
          <w:szCs w:val="24"/>
        </w:rPr>
        <w:t xml:space="preserve"> are barred in whole or in part because all conditions precedent to the </w:t>
      </w:r>
      <w:r>
        <w:rPr>
          <w:rFonts w:ascii="Garamond" w:hAnsi="Garamond"/>
          <w:bCs/>
          <w:snapToGrid w:val="0"/>
          <w:sz w:val="24"/>
          <w:szCs w:val="24"/>
        </w:rPr>
        <w:t>L</w:t>
      </w:r>
      <w:r w:rsidRPr="0008187A">
        <w:rPr>
          <w:rFonts w:ascii="Garamond" w:hAnsi="Garamond"/>
          <w:bCs/>
          <w:snapToGrid w:val="0"/>
          <w:sz w:val="24"/>
          <w:szCs w:val="24"/>
        </w:rPr>
        <w:t>awyers recovering an attorneys’ fee ha</w:t>
      </w:r>
      <w:r>
        <w:rPr>
          <w:rFonts w:ascii="Garamond" w:hAnsi="Garamond"/>
          <w:bCs/>
          <w:snapToGrid w:val="0"/>
          <w:sz w:val="24"/>
          <w:szCs w:val="24"/>
        </w:rPr>
        <w:t>d</w:t>
      </w:r>
      <w:r w:rsidRPr="0008187A">
        <w:rPr>
          <w:rFonts w:ascii="Garamond" w:hAnsi="Garamond"/>
          <w:bCs/>
          <w:snapToGrid w:val="0"/>
          <w:sz w:val="24"/>
          <w:szCs w:val="24"/>
        </w:rPr>
        <w:t xml:space="preserve"> not been satisfied. Namely, </w:t>
      </w:r>
      <w:r>
        <w:rPr>
          <w:rFonts w:ascii="Garamond" w:hAnsi="Garamond"/>
          <w:bCs/>
          <w:snapToGrid w:val="0"/>
          <w:sz w:val="24"/>
          <w:szCs w:val="24"/>
        </w:rPr>
        <w:t>the Allisons had</w:t>
      </w:r>
      <w:r w:rsidRPr="0008187A">
        <w:rPr>
          <w:rFonts w:ascii="Garamond" w:hAnsi="Garamond"/>
          <w:bCs/>
          <w:snapToGrid w:val="0"/>
          <w:sz w:val="24"/>
          <w:szCs w:val="24"/>
        </w:rPr>
        <w:t xml:space="preserve"> not received any recovery due to the problems associated with the underlying settlement. </w:t>
      </w:r>
    </w:p>
    <w:p w14:paraId="0440BE0A" w14:textId="77777777" w:rsidR="00A1452F" w:rsidRPr="0008187A" w:rsidRDefault="00A1452F" w:rsidP="00A1452F">
      <w:pPr>
        <w:pStyle w:val="ListParagraph"/>
        <w:ind w:right="720"/>
        <w:jc w:val="both"/>
        <w:rPr>
          <w:rFonts w:ascii="Garamond" w:hAnsi="Garamond"/>
          <w:bCs/>
          <w:snapToGrid w:val="0"/>
          <w:sz w:val="24"/>
          <w:szCs w:val="24"/>
        </w:rPr>
      </w:pPr>
    </w:p>
    <w:p w14:paraId="0B46A523" w14:textId="18B68534" w:rsidR="0008187A" w:rsidRDefault="0008187A" w:rsidP="00A1452F">
      <w:pPr>
        <w:pStyle w:val="ListParagraph"/>
        <w:numPr>
          <w:ilvl w:val="0"/>
          <w:numId w:val="4"/>
        </w:numPr>
        <w:ind w:right="720"/>
        <w:jc w:val="both"/>
        <w:rPr>
          <w:rFonts w:ascii="Garamond" w:hAnsi="Garamond"/>
          <w:bCs/>
          <w:snapToGrid w:val="0"/>
          <w:sz w:val="24"/>
          <w:szCs w:val="24"/>
        </w:rPr>
      </w:pPr>
      <w:r>
        <w:rPr>
          <w:rFonts w:ascii="Garamond" w:hAnsi="Garamond"/>
          <w:bCs/>
          <w:snapToGrid w:val="0"/>
          <w:sz w:val="24"/>
          <w:szCs w:val="24"/>
        </w:rPr>
        <w:t>Any</w:t>
      </w:r>
      <w:r w:rsidRPr="0008187A">
        <w:rPr>
          <w:rFonts w:ascii="Garamond" w:hAnsi="Garamond"/>
          <w:bCs/>
          <w:snapToGrid w:val="0"/>
          <w:sz w:val="24"/>
          <w:szCs w:val="24"/>
        </w:rPr>
        <w:t xml:space="preserve"> claims against </w:t>
      </w:r>
      <w:r>
        <w:rPr>
          <w:rFonts w:ascii="Garamond" w:hAnsi="Garamond"/>
          <w:bCs/>
          <w:snapToGrid w:val="0"/>
          <w:sz w:val="24"/>
          <w:szCs w:val="24"/>
        </w:rPr>
        <w:t xml:space="preserve">the Allisons </w:t>
      </w:r>
      <w:r w:rsidRPr="0008187A">
        <w:rPr>
          <w:rFonts w:ascii="Garamond" w:hAnsi="Garamond"/>
          <w:bCs/>
          <w:snapToGrid w:val="0"/>
          <w:sz w:val="24"/>
          <w:szCs w:val="24"/>
        </w:rPr>
        <w:t>are barred in whole or in part because the underlying settlement has material defects impacting its enforceability in the manner as it was desired, which warrants a failure of a condition precedent assertion and a potential illegality assertion.</w:t>
      </w:r>
    </w:p>
    <w:p w14:paraId="6F73BE04" w14:textId="77777777" w:rsidR="00A1452F" w:rsidRPr="0008187A" w:rsidRDefault="00A1452F" w:rsidP="00A1452F">
      <w:pPr>
        <w:pStyle w:val="ListParagraph"/>
        <w:ind w:right="720"/>
        <w:jc w:val="both"/>
        <w:rPr>
          <w:rFonts w:ascii="Garamond" w:hAnsi="Garamond"/>
          <w:bCs/>
          <w:snapToGrid w:val="0"/>
          <w:sz w:val="24"/>
          <w:szCs w:val="24"/>
        </w:rPr>
      </w:pPr>
    </w:p>
    <w:p w14:paraId="3039EBF5" w14:textId="20D03947" w:rsidR="0008187A" w:rsidRDefault="0008187A" w:rsidP="00A1452F">
      <w:pPr>
        <w:pStyle w:val="ListParagraph"/>
        <w:numPr>
          <w:ilvl w:val="0"/>
          <w:numId w:val="4"/>
        </w:numPr>
        <w:ind w:right="720"/>
        <w:jc w:val="both"/>
        <w:rPr>
          <w:rFonts w:ascii="Garamond" w:hAnsi="Garamond"/>
          <w:bCs/>
          <w:snapToGrid w:val="0"/>
          <w:sz w:val="24"/>
          <w:szCs w:val="24"/>
        </w:rPr>
      </w:pPr>
      <w:r>
        <w:rPr>
          <w:rFonts w:ascii="Garamond" w:hAnsi="Garamond"/>
          <w:bCs/>
          <w:snapToGrid w:val="0"/>
          <w:sz w:val="24"/>
          <w:szCs w:val="24"/>
        </w:rPr>
        <w:lastRenderedPageBreak/>
        <w:t>Any</w:t>
      </w:r>
      <w:r w:rsidRPr="0008187A">
        <w:rPr>
          <w:rFonts w:ascii="Garamond" w:hAnsi="Garamond"/>
          <w:bCs/>
          <w:snapToGrid w:val="0"/>
          <w:sz w:val="24"/>
          <w:szCs w:val="24"/>
        </w:rPr>
        <w:t xml:space="preserve"> claims against </w:t>
      </w:r>
      <w:r>
        <w:rPr>
          <w:rFonts w:ascii="Garamond" w:hAnsi="Garamond"/>
          <w:bCs/>
          <w:snapToGrid w:val="0"/>
          <w:sz w:val="24"/>
          <w:szCs w:val="24"/>
        </w:rPr>
        <w:t>the Allisons</w:t>
      </w:r>
      <w:r w:rsidRPr="0008187A">
        <w:rPr>
          <w:rFonts w:ascii="Garamond" w:hAnsi="Garamond"/>
          <w:bCs/>
          <w:snapToGrid w:val="0"/>
          <w:sz w:val="24"/>
          <w:szCs w:val="24"/>
        </w:rPr>
        <w:t xml:space="preserve"> are barred in whole or in part by a prior material breach by the </w:t>
      </w:r>
      <w:r>
        <w:rPr>
          <w:rFonts w:ascii="Garamond" w:hAnsi="Garamond"/>
          <w:bCs/>
          <w:snapToGrid w:val="0"/>
          <w:sz w:val="24"/>
          <w:szCs w:val="24"/>
        </w:rPr>
        <w:t>L</w:t>
      </w:r>
      <w:r w:rsidRPr="0008187A">
        <w:rPr>
          <w:rFonts w:ascii="Garamond" w:hAnsi="Garamond"/>
          <w:bCs/>
          <w:snapToGrid w:val="0"/>
          <w:sz w:val="24"/>
          <w:szCs w:val="24"/>
        </w:rPr>
        <w:t>awyers</w:t>
      </w:r>
      <w:r>
        <w:rPr>
          <w:rFonts w:ascii="Garamond" w:hAnsi="Garamond"/>
          <w:bCs/>
          <w:snapToGrid w:val="0"/>
          <w:sz w:val="24"/>
          <w:szCs w:val="24"/>
        </w:rPr>
        <w:t xml:space="preserve">, including their breaches of fiduciary duty, negligence and violations of the Texas Deceptive Trade Practices Act. </w:t>
      </w:r>
    </w:p>
    <w:p w14:paraId="26D6B11D" w14:textId="77777777" w:rsidR="00A1452F" w:rsidRPr="0008187A" w:rsidRDefault="00A1452F" w:rsidP="00A1452F">
      <w:pPr>
        <w:pStyle w:val="ListParagraph"/>
        <w:ind w:right="720"/>
        <w:jc w:val="both"/>
        <w:rPr>
          <w:rFonts w:ascii="Garamond" w:hAnsi="Garamond"/>
          <w:bCs/>
          <w:snapToGrid w:val="0"/>
          <w:sz w:val="24"/>
          <w:szCs w:val="24"/>
        </w:rPr>
      </w:pPr>
    </w:p>
    <w:p w14:paraId="391DF158" w14:textId="7016E788" w:rsidR="0008187A" w:rsidRDefault="0008187A" w:rsidP="00A1452F">
      <w:pPr>
        <w:pStyle w:val="ListParagraph"/>
        <w:numPr>
          <w:ilvl w:val="0"/>
          <w:numId w:val="4"/>
        </w:numPr>
        <w:ind w:right="720"/>
        <w:jc w:val="both"/>
        <w:rPr>
          <w:rFonts w:ascii="Garamond" w:hAnsi="Garamond"/>
          <w:bCs/>
          <w:snapToGrid w:val="0"/>
          <w:sz w:val="24"/>
          <w:szCs w:val="24"/>
        </w:rPr>
      </w:pPr>
      <w:r>
        <w:rPr>
          <w:rFonts w:ascii="Garamond" w:hAnsi="Garamond"/>
          <w:bCs/>
          <w:snapToGrid w:val="0"/>
          <w:sz w:val="24"/>
          <w:szCs w:val="24"/>
        </w:rPr>
        <w:t>Any</w:t>
      </w:r>
      <w:r w:rsidRPr="0008187A">
        <w:rPr>
          <w:rFonts w:ascii="Garamond" w:hAnsi="Garamond"/>
          <w:bCs/>
          <w:snapToGrid w:val="0"/>
          <w:sz w:val="24"/>
          <w:szCs w:val="24"/>
        </w:rPr>
        <w:t xml:space="preserve"> claims against </w:t>
      </w:r>
      <w:r>
        <w:rPr>
          <w:rFonts w:ascii="Garamond" w:hAnsi="Garamond"/>
          <w:bCs/>
          <w:snapToGrid w:val="0"/>
          <w:sz w:val="24"/>
          <w:szCs w:val="24"/>
        </w:rPr>
        <w:t>the Allisons</w:t>
      </w:r>
      <w:r w:rsidRPr="0008187A">
        <w:rPr>
          <w:rFonts w:ascii="Garamond" w:hAnsi="Garamond"/>
          <w:bCs/>
          <w:snapToGrid w:val="0"/>
          <w:sz w:val="24"/>
          <w:szCs w:val="24"/>
        </w:rPr>
        <w:t xml:space="preserve"> are barred in whole or in part because of the </w:t>
      </w:r>
      <w:r>
        <w:rPr>
          <w:rFonts w:ascii="Garamond" w:hAnsi="Garamond"/>
          <w:bCs/>
          <w:snapToGrid w:val="0"/>
          <w:sz w:val="24"/>
          <w:szCs w:val="24"/>
        </w:rPr>
        <w:t>L</w:t>
      </w:r>
      <w:r w:rsidRPr="0008187A">
        <w:rPr>
          <w:rFonts w:ascii="Garamond" w:hAnsi="Garamond"/>
          <w:bCs/>
          <w:snapToGrid w:val="0"/>
          <w:sz w:val="24"/>
          <w:szCs w:val="24"/>
        </w:rPr>
        <w:t>awyers’ withdrawal, waiver, rejection of completing the work, and necessity of substitution of the attorneys prior to completion of the services.</w:t>
      </w:r>
    </w:p>
    <w:p w14:paraId="09105990" w14:textId="77777777" w:rsidR="00A1452F" w:rsidRPr="0008187A" w:rsidRDefault="00A1452F" w:rsidP="00A1452F">
      <w:pPr>
        <w:pStyle w:val="ListParagraph"/>
        <w:ind w:right="720"/>
        <w:jc w:val="both"/>
        <w:rPr>
          <w:rFonts w:ascii="Garamond" w:hAnsi="Garamond"/>
          <w:bCs/>
          <w:snapToGrid w:val="0"/>
          <w:sz w:val="24"/>
          <w:szCs w:val="24"/>
        </w:rPr>
      </w:pPr>
    </w:p>
    <w:p w14:paraId="10109B49" w14:textId="5831B705" w:rsidR="0008187A" w:rsidRDefault="0008187A" w:rsidP="00A1452F">
      <w:pPr>
        <w:pStyle w:val="ListParagraph"/>
        <w:numPr>
          <w:ilvl w:val="0"/>
          <w:numId w:val="4"/>
        </w:numPr>
        <w:ind w:right="720"/>
        <w:jc w:val="both"/>
        <w:rPr>
          <w:rFonts w:ascii="Garamond" w:hAnsi="Garamond"/>
          <w:bCs/>
          <w:snapToGrid w:val="0"/>
          <w:sz w:val="24"/>
          <w:szCs w:val="24"/>
        </w:rPr>
      </w:pPr>
      <w:r>
        <w:rPr>
          <w:rFonts w:ascii="Garamond" w:hAnsi="Garamond"/>
          <w:bCs/>
          <w:snapToGrid w:val="0"/>
          <w:sz w:val="24"/>
          <w:szCs w:val="24"/>
        </w:rPr>
        <w:t>Any</w:t>
      </w:r>
      <w:r w:rsidRPr="0008187A">
        <w:rPr>
          <w:rFonts w:ascii="Garamond" w:hAnsi="Garamond"/>
          <w:bCs/>
          <w:snapToGrid w:val="0"/>
          <w:sz w:val="24"/>
          <w:szCs w:val="24"/>
        </w:rPr>
        <w:t xml:space="preserve"> claims against </w:t>
      </w:r>
      <w:r>
        <w:rPr>
          <w:rFonts w:ascii="Garamond" w:hAnsi="Garamond"/>
          <w:bCs/>
          <w:snapToGrid w:val="0"/>
          <w:sz w:val="24"/>
          <w:szCs w:val="24"/>
        </w:rPr>
        <w:t>the Allisons</w:t>
      </w:r>
      <w:r w:rsidRPr="0008187A">
        <w:rPr>
          <w:rFonts w:ascii="Garamond" w:hAnsi="Garamond"/>
          <w:bCs/>
          <w:snapToGrid w:val="0"/>
          <w:sz w:val="24"/>
          <w:szCs w:val="24"/>
        </w:rPr>
        <w:t xml:space="preserve"> are barred in whole or in part by the doctrine of an offset, credit, and/or recoupment.</w:t>
      </w:r>
    </w:p>
    <w:p w14:paraId="25155326" w14:textId="77777777" w:rsidR="00A1452F" w:rsidRPr="0008187A" w:rsidRDefault="00A1452F" w:rsidP="00A1452F">
      <w:pPr>
        <w:pStyle w:val="ListParagraph"/>
        <w:ind w:right="720"/>
        <w:jc w:val="both"/>
        <w:rPr>
          <w:rFonts w:ascii="Garamond" w:hAnsi="Garamond"/>
          <w:bCs/>
          <w:snapToGrid w:val="0"/>
          <w:sz w:val="24"/>
          <w:szCs w:val="24"/>
        </w:rPr>
      </w:pPr>
    </w:p>
    <w:p w14:paraId="6821EEDF" w14:textId="7BBB7C83" w:rsidR="0008187A" w:rsidRDefault="0008187A" w:rsidP="00A1452F">
      <w:pPr>
        <w:pStyle w:val="ListParagraph"/>
        <w:numPr>
          <w:ilvl w:val="0"/>
          <w:numId w:val="4"/>
        </w:numPr>
        <w:ind w:right="720"/>
        <w:jc w:val="both"/>
        <w:rPr>
          <w:rFonts w:ascii="Garamond" w:hAnsi="Garamond"/>
          <w:bCs/>
          <w:snapToGrid w:val="0"/>
          <w:sz w:val="24"/>
          <w:szCs w:val="24"/>
        </w:rPr>
      </w:pPr>
      <w:r>
        <w:rPr>
          <w:rFonts w:ascii="Garamond" w:hAnsi="Garamond"/>
          <w:bCs/>
          <w:snapToGrid w:val="0"/>
          <w:sz w:val="24"/>
          <w:szCs w:val="24"/>
        </w:rPr>
        <w:t>Any</w:t>
      </w:r>
      <w:r w:rsidRPr="0008187A">
        <w:rPr>
          <w:rFonts w:ascii="Garamond" w:hAnsi="Garamond"/>
          <w:bCs/>
          <w:snapToGrid w:val="0"/>
          <w:sz w:val="24"/>
          <w:szCs w:val="24"/>
        </w:rPr>
        <w:t xml:space="preserve"> claims against </w:t>
      </w:r>
      <w:r>
        <w:rPr>
          <w:rFonts w:ascii="Garamond" w:hAnsi="Garamond"/>
          <w:bCs/>
          <w:snapToGrid w:val="0"/>
          <w:sz w:val="24"/>
          <w:szCs w:val="24"/>
        </w:rPr>
        <w:t>the Allisons</w:t>
      </w:r>
      <w:r w:rsidRPr="0008187A">
        <w:rPr>
          <w:rFonts w:ascii="Garamond" w:hAnsi="Garamond"/>
          <w:bCs/>
          <w:snapToGrid w:val="0"/>
          <w:sz w:val="24"/>
          <w:szCs w:val="24"/>
        </w:rPr>
        <w:t xml:space="preserve"> are barred in whole or in part by a breach of fiduciary duty of a clear and serious nature that would warrant forfeiture.</w:t>
      </w:r>
    </w:p>
    <w:p w14:paraId="793EA47C" w14:textId="77777777" w:rsidR="00A1452F" w:rsidRPr="0008187A" w:rsidRDefault="00A1452F" w:rsidP="00A1452F">
      <w:pPr>
        <w:pStyle w:val="ListParagraph"/>
        <w:ind w:right="720"/>
        <w:jc w:val="both"/>
        <w:rPr>
          <w:rFonts w:ascii="Garamond" w:hAnsi="Garamond"/>
          <w:bCs/>
          <w:snapToGrid w:val="0"/>
          <w:sz w:val="24"/>
          <w:szCs w:val="24"/>
        </w:rPr>
      </w:pPr>
    </w:p>
    <w:p w14:paraId="3F02DA1A" w14:textId="1EBEA7AB" w:rsidR="0008187A" w:rsidRDefault="0008187A" w:rsidP="00A1452F">
      <w:pPr>
        <w:pStyle w:val="ListParagraph"/>
        <w:numPr>
          <w:ilvl w:val="0"/>
          <w:numId w:val="4"/>
        </w:numPr>
        <w:ind w:right="720"/>
        <w:jc w:val="both"/>
        <w:rPr>
          <w:rFonts w:ascii="Garamond" w:hAnsi="Garamond"/>
          <w:bCs/>
          <w:snapToGrid w:val="0"/>
          <w:sz w:val="24"/>
          <w:szCs w:val="24"/>
        </w:rPr>
      </w:pPr>
      <w:r>
        <w:rPr>
          <w:rFonts w:ascii="Garamond" w:hAnsi="Garamond"/>
          <w:bCs/>
          <w:snapToGrid w:val="0"/>
          <w:sz w:val="24"/>
          <w:szCs w:val="24"/>
        </w:rPr>
        <w:t>Any</w:t>
      </w:r>
      <w:r w:rsidRPr="0008187A">
        <w:rPr>
          <w:rFonts w:ascii="Garamond" w:hAnsi="Garamond"/>
          <w:bCs/>
          <w:snapToGrid w:val="0"/>
          <w:sz w:val="24"/>
          <w:szCs w:val="24"/>
        </w:rPr>
        <w:t xml:space="preserve"> claims against </w:t>
      </w:r>
      <w:r>
        <w:rPr>
          <w:rFonts w:ascii="Garamond" w:hAnsi="Garamond"/>
          <w:bCs/>
          <w:snapToGrid w:val="0"/>
          <w:sz w:val="24"/>
          <w:szCs w:val="24"/>
        </w:rPr>
        <w:t>the Allisons</w:t>
      </w:r>
      <w:r w:rsidRPr="0008187A">
        <w:rPr>
          <w:rFonts w:ascii="Garamond" w:hAnsi="Garamond"/>
          <w:bCs/>
          <w:snapToGrid w:val="0"/>
          <w:sz w:val="24"/>
          <w:szCs w:val="24"/>
        </w:rPr>
        <w:t xml:space="preserve"> are barred in whole or in part because the fee contract has a condition precedent of their being a recovery before any contingent fee interest would generate. Here, there has been no recovery realized by </w:t>
      </w:r>
      <w:r>
        <w:rPr>
          <w:rFonts w:ascii="Garamond" w:hAnsi="Garamond"/>
          <w:bCs/>
          <w:snapToGrid w:val="0"/>
          <w:sz w:val="24"/>
          <w:szCs w:val="24"/>
        </w:rPr>
        <w:t xml:space="preserve">the Allisons. </w:t>
      </w:r>
      <w:r w:rsidRPr="0008187A">
        <w:rPr>
          <w:rFonts w:ascii="Garamond" w:hAnsi="Garamond"/>
          <w:bCs/>
          <w:snapToGrid w:val="0"/>
          <w:sz w:val="24"/>
          <w:szCs w:val="24"/>
        </w:rPr>
        <w:t xml:space="preserve"> </w:t>
      </w:r>
    </w:p>
    <w:p w14:paraId="6F2799A7" w14:textId="77777777" w:rsidR="00A1452F" w:rsidRPr="0008187A" w:rsidRDefault="00A1452F" w:rsidP="00A1452F">
      <w:pPr>
        <w:pStyle w:val="ListParagraph"/>
        <w:ind w:right="720"/>
        <w:jc w:val="both"/>
        <w:rPr>
          <w:rFonts w:ascii="Garamond" w:hAnsi="Garamond"/>
          <w:bCs/>
          <w:snapToGrid w:val="0"/>
          <w:sz w:val="24"/>
          <w:szCs w:val="24"/>
        </w:rPr>
      </w:pPr>
    </w:p>
    <w:p w14:paraId="6B75F793" w14:textId="289369BA" w:rsidR="0008187A" w:rsidRDefault="0008187A" w:rsidP="00A1452F">
      <w:pPr>
        <w:pStyle w:val="ListParagraph"/>
        <w:numPr>
          <w:ilvl w:val="0"/>
          <w:numId w:val="4"/>
        </w:numPr>
        <w:ind w:right="720"/>
        <w:jc w:val="both"/>
        <w:rPr>
          <w:rFonts w:ascii="Garamond" w:hAnsi="Garamond"/>
          <w:bCs/>
          <w:snapToGrid w:val="0"/>
          <w:sz w:val="24"/>
          <w:szCs w:val="24"/>
        </w:rPr>
      </w:pPr>
      <w:r>
        <w:rPr>
          <w:rFonts w:ascii="Garamond" w:hAnsi="Garamond"/>
          <w:bCs/>
          <w:snapToGrid w:val="0"/>
          <w:sz w:val="24"/>
          <w:szCs w:val="24"/>
        </w:rPr>
        <w:t>Any</w:t>
      </w:r>
      <w:r w:rsidRPr="0008187A">
        <w:rPr>
          <w:rFonts w:ascii="Garamond" w:hAnsi="Garamond"/>
          <w:bCs/>
          <w:snapToGrid w:val="0"/>
          <w:sz w:val="24"/>
          <w:szCs w:val="24"/>
        </w:rPr>
        <w:t xml:space="preserve"> claims against </w:t>
      </w:r>
      <w:r>
        <w:rPr>
          <w:rFonts w:ascii="Garamond" w:hAnsi="Garamond"/>
          <w:bCs/>
          <w:snapToGrid w:val="0"/>
          <w:sz w:val="24"/>
          <w:szCs w:val="24"/>
        </w:rPr>
        <w:t>the Allisons</w:t>
      </w:r>
      <w:r w:rsidRPr="0008187A">
        <w:rPr>
          <w:rFonts w:ascii="Garamond" w:hAnsi="Garamond"/>
          <w:bCs/>
          <w:snapToGrid w:val="0"/>
          <w:sz w:val="24"/>
          <w:szCs w:val="24"/>
        </w:rPr>
        <w:t xml:space="preserve"> are barred in whole or in part based on the doctrine of illegality, unenforceability, and failure to comply in whole or in part with </w:t>
      </w:r>
      <w:r w:rsidR="000B10A6">
        <w:rPr>
          <w:rFonts w:ascii="Garamond" w:hAnsi="Garamond"/>
          <w:bCs/>
          <w:snapToGrid w:val="0"/>
          <w:sz w:val="24"/>
          <w:szCs w:val="24"/>
        </w:rPr>
        <w:t>Texas Government Code §</w:t>
      </w:r>
      <w:r w:rsidRPr="0008187A">
        <w:rPr>
          <w:rFonts w:ascii="Garamond" w:hAnsi="Garamond"/>
          <w:bCs/>
          <w:snapToGrid w:val="0"/>
          <w:sz w:val="24"/>
          <w:szCs w:val="24"/>
        </w:rPr>
        <w:t xml:space="preserve"> 82.065 and </w:t>
      </w:r>
      <w:r w:rsidR="000B10A6">
        <w:rPr>
          <w:rFonts w:ascii="Garamond" w:hAnsi="Garamond"/>
          <w:bCs/>
          <w:snapToGrid w:val="0"/>
          <w:sz w:val="24"/>
          <w:szCs w:val="24"/>
        </w:rPr>
        <w:t>Texas Disciplinary Rule of Professional Conduct</w:t>
      </w:r>
      <w:r w:rsidRPr="0008187A">
        <w:rPr>
          <w:rFonts w:ascii="Garamond" w:hAnsi="Garamond"/>
          <w:bCs/>
          <w:snapToGrid w:val="0"/>
          <w:sz w:val="24"/>
          <w:szCs w:val="24"/>
        </w:rPr>
        <w:t xml:space="preserve"> 1.04(f) and/or the statute of frauds.</w:t>
      </w:r>
    </w:p>
    <w:p w14:paraId="435F293F" w14:textId="77777777" w:rsidR="00A1452F" w:rsidRPr="0008187A" w:rsidRDefault="00A1452F" w:rsidP="00A1452F">
      <w:pPr>
        <w:pStyle w:val="ListParagraph"/>
        <w:ind w:right="720"/>
        <w:jc w:val="both"/>
        <w:rPr>
          <w:rFonts w:ascii="Garamond" w:hAnsi="Garamond"/>
          <w:bCs/>
          <w:snapToGrid w:val="0"/>
          <w:sz w:val="24"/>
          <w:szCs w:val="24"/>
        </w:rPr>
      </w:pPr>
    </w:p>
    <w:p w14:paraId="27A7C454" w14:textId="42F67789" w:rsidR="0008187A" w:rsidRDefault="0008187A" w:rsidP="00A1452F">
      <w:pPr>
        <w:pStyle w:val="ListParagraph"/>
        <w:numPr>
          <w:ilvl w:val="0"/>
          <w:numId w:val="4"/>
        </w:numPr>
        <w:ind w:right="720"/>
        <w:jc w:val="both"/>
        <w:rPr>
          <w:rFonts w:ascii="Garamond" w:hAnsi="Garamond"/>
          <w:bCs/>
          <w:snapToGrid w:val="0"/>
          <w:sz w:val="24"/>
          <w:szCs w:val="24"/>
        </w:rPr>
      </w:pPr>
      <w:r>
        <w:rPr>
          <w:rFonts w:ascii="Garamond" w:hAnsi="Garamond"/>
          <w:bCs/>
          <w:snapToGrid w:val="0"/>
          <w:sz w:val="24"/>
          <w:szCs w:val="24"/>
        </w:rPr>
        <w:t>Any</w:t>
      </w:r>
      <w:r w:rsidRPr="0008187A">
        <w:rPr>
          <w:rFonts w:ascii="Garamond" w:hAnsi="Garamond"/>
          <w:bCs/>
          <w:snapToGrid w:val="0"/>
          <w:sz w:val="24"/>
          <w:szCs w:val="24"/>
        </w:rPr>
        <w:t xml:space="preserve"> claims against </w:t>
      </w:r>
      <w:r>
        <w:rPr>
          <w:rFonts w:ascii="Garamond" w:hAnsi="Garamond"/>
          <w:bCs/>
          <w:snapToGrid w:val="0"/>
          <w:sz w:val="24"/>
          <w:szCs w:val="24"/>
        </w:rPr>
        <w:t>the Allisons</w:t>
      </w:r>
      <w:r w:rsidRPr="0008187A">
        <w:rPr>
          <w:rFonts w:ascii="Garamond" w:hAnsi="Garamond"/>
          <w:bCs/>
          <w:snapToGrid w:val="0"/>
          <w:sz w:val="24"/>
          <w:szCs w:val="24"/>
        </w:rPr>
        <w:t xml:space="preserve"> are barred in whole or in part by unconscionability.</w:t>
      </w:r>
    </w:p>
    <w:p w14:paraId="7D487A9D" w14:textId="77777777" w:rsidR="00A1452F" w:rsidRPr="0008187A" w:rsidRDefault="00A1452F" w:rsidP="00A1452F">
      <w:pPr>
        <w:pStyle w:val="ListParagraph"/>
        <w:ind w:right="720"/>
        <w:jc w:val="both"/>
        <w:rPr>
          <w:rFonts w:ascii="Garamond" w:hAnsi="Garamond"/>
          <w:bCs/>
          <w:snapToGrid w:val="0"/>
          <w:sz w:val="24"/>
          <w:szCs w:val="24"/>
        </w:rPr>
      </w:pPr>
    </w:p>
    <w:p w14:paraId="5550A5B3" w14:textId="25654CC9" w:rsidR="00E4720B" w:rsidRDefault="002340BC" w:rsidP="00C03514">
      <w:pPr>
        <w:spacing w:line="480" w:lineRule="auto"/>
        <w:jc w:val="both"/>
        <w:rPr>
          <w:rFonts w:ascii="Garamond" w:hAnsi="Garamond"/>
          <w:bCs/>
          <w:snapToGrid w:val="0"/>
          <w:sz w:val="24"/>
          <w:szCs w:val="24"/>
        </w:rPr>
      </w:pPr>
      <w:r>
        <w:rPr>
          <w:rFonts w:ascii="Garamond" w:hAnsi="Garamond"/>
          <w:bCs/>
          <w:snapToGrid w:val="0"/>
          <w:sz w:val="24"/>
          <w:szCs w:val="24"/>
        </w:rPr>
        <w:tab/>
      </w:r>
      <w:r w:rsidR="00820281">
        <w:rPr>
          <w:rFonts w:ascii="Garamond" w:hAnsi="Garamond"/>
          <w:bCs/>
          <w:snapToGrid w:val="0"/>
          <w:sz w:val="24"/>
          <w:szCs w:val="24"/>
        </w:rPr>
        <w:t xml:space="preserve">Those defenses are set out in the expert reports of </w:t>
      </w:r>
      <w:r w:rsidR="009616CB">
        <w:rPr>
          <w:rFonts w:ascii="Garamond" w:hAnsi="Garamond"/>
          <w:bCs/>
          <w:snapToGrid w:val="0"/>
          <w:sz w:val="24"/>
          <w:szCs w:val="24"/>
        </w:rPr>
        <w:t xml:space="preserve">attorneys </w:t>
      </w:r>
      <w:r w:rsidR="00820281">
        <w:rPr>
          <w:rFonts w:ascii="Garamond" w:hAnsi="Garamond"/>
          <w:bCs/>
          <w:snapToGrid w:val="0"/>
          <w:sz w:val="24"/>
          <w:szCs w:val="24"/>
        </w:rPr>
        <w:t>Lillian Hardwick,</w:t>
      </w:r>
      <w:r w:rsidR="009616CB">
        <w:rPr>
          <w:rStyle w:val="FootnoteReference"/>
          <w:rFonts w:ascii="Garamond" w:hAnsi="Garamond"/>
          <w:bCs/>
          <w:snapToGrid w:val="0"/>
          <w:sz w:val="24"/>
          <w:szCs w:val="24"/>
        </w:rPr>
        <w:footnoteReference w:id="19"/>
      </w:r>
      <w:r w:rsidR="00820281">
        <w:rPr>
          <w:rFonts w:ascii="Garamond" w:hAnsi="Garamond"/>
          <w:bCs/>
          <w:snapToGrid w:val="0"/>
          <w:sz w:val="24"/>
          <w:szCs w:val="24"/>
        </w:rPr>
        <w:t xml:space="preserve"> </w:t>
      </w:r>
      <w:r w:rsidR="009616CB">
        <w:rPr>
          <w:rFonts w:ascii="Garamond" w:hAnsi="Garamond"/>
          <w:bCs/>
          <w:snapToGrid w:val="0"/>
          <w:sz w:val="24"/>
          <w:szCs w:val="24"/>
        </w:rPr>
        <w:t>Kevin Spencer,</w:t>
      </w:r>
      <w:r w:rsidR="009616CB">
        <w:rPr>
          <w:rStyle w:val="FootnoteReference"/>
          <w:rFonts w:ascii="Garamond" w:hAnsi="Garamond"/>
          <w:bCs/>
          <w:snapToGrid w:val="0"/>
          <w:sz w:val="24"/>
          <w:szCs w:val="24"/>
        </w:rPr>
        <w:footnoteReference w:id="20"/>
      </w:r>
      <w:r w:rsidR="009616CB">
        <w:rPr>
          <w:rFonts w:ascii="Garamond" w:hAnsi="Garamond"/>
          <w:bCs/>
          <w:snapToGrid w:val="0"/>
          <w:sz w:val="24"/>
          <w:szCs w:val="24"/>
        </w:rPr>
        <w:t xml:space="preserve"> and Sara</w:t>
      </w:r>
      <w:r>
        <w:rPr>
          <w:rFonts w:ascii="Garamond" w:hAnsi="Garamond"/>
          <w:bCs/>
          <w:snapToGrid w:val="0"/>
          <w:sz w:val="24"/>
          <w:szCs w:val="24"/>
        </w:rPr>
        <w:t>h Pacheco.</w:t>
      </w:r>
      <w:r>
        <w:rPr>
          <w:rStyle w:val="FootnoteReference"/>
          <w:rFonts w:ascii="Garamond" w:hAnsi="Garamond"/>
          <w:bCs/>
          <w:snapToGrid w:val="0"/>
          <w:sz w:val="24"/>
          <w:szCs w:val="24"/>
        </w:rPr>
        <w:footnoteReference w:id="21"/>
      </w:r>
      <w:r>
        <w:rPr>
          <w:rFonts w:ascii="Garamond" w:hAnsi="Garamond"/>
          <w:bCs/>
          <w:snapToGrid w:val="0"/>
          <w:sz w:val="24"/>
          <w:szCs w:val="24"/>
        </w:rPr>
        <w:t xml:space="preserve"> </w:t>
      </w:r>
      <w:r w:rsidR="0008187A">
        <w:rPr>
          <w:rFonts w:ascii="Garamond" w:hAnsi="Garamond"/>
          <w:bCs/>
          <w:snapToGrid w:val="0"/>
          <w:sz w:val="24"/>
          <w:szCs w:val="24"/>
        </w:rPr>
        <w:t xml:space="preserve">The Allisons </w:t>
      </w:r>
      <w:r w:rsidR="0008187A" w:rsidRPr="006614A5">
        <w:rPr>
          <w:rFonts w:ascii="Garamond" w:hAnsi="Garamond"/>
          <w:bCs/>
          <w:snapToGrid w:val="0"/>
          <w:sz w:val="24"/>
          <w:szCs w:val="24"/>
        </w:rPr>
        <w:t xml:space="preserve">were prevented from making </w:t>
      </w:r>
      <w:r w:rsidR="0008187A">
        <w:rPr>
          <w:rFonts w:ascii="Garamond" w:hAnsi="Garamond"/>
          <w:bCs/>
          <w:snapToGrid w:val="0"/>
          <w:sz w:val="24"/>
          <w:szCs w:val="24"/>
        </w:rPr>
        <w:t>these valid defenses due to the extrinsic fraud and nondisclosure described herein, which was</w:t>
      </w:r>
      <w:r w:rsidR="0008187A" w:rsidRPr="006614A5">
        <w:rPr>
          <w:rFonts w:ascii="Garamond" w:hAnsi="Garamond"/>
          <w:bCs/>
          <w:snapToGrid w:val="0"/>
          <w:sz w:val="24"/>
          <w:szCs w:val="24"/>
        </w:rPr>
        <w:t xml:space="preserve"> unmixed with any fault or negligence on their own part.</w:t>
      </w:r>
      <w:r w:rsidR="0008187A">
        <w:rPr>
          <w:rFonts w:ascii="Garamond" w:hAnsi="Garamond"/>
          <w:bCs/>
          <w:snapToGrid w:val="0"/>
          <w:sz w:val="24"/>
          <w:szCs w:val="24"/>
        </w:rPr>
        <w:t xml:space="preserve"> Accordingly, the Allisons are entitled to bill of review relief</w:t>
      </w:r>
      <w:r w:rsidR="00F86EB7">
        <w:rPr>
          <w:rFonts w:ascii="Garamond" w:hAnsi="Garamond"/>
          <w:bCs/>
          <w:snapToGrid w:val="0"/>
          <w:sz w:val="24"/>
          <w:szCs w:val="24"/>
        </w:rPr>
        <w:t xml:space="preserve">. The Court should therefore </w:t>
      </w:r>
      <w:r w:rsidR="00F86EB7" w:rsidRPr="00F86EB7">
        <w:rPr>
          <w:rFonts w:ascii="Garamond" w:hAnsi="Garamond"/>
          <w:bCs/>
          <w:snapToGrid w:val="0"/>
          <w:sz w:val="24"/>
          <w:szCs w:val="24"/>
        </w:rPr>
        <w:t>grant this Petition for Bill of Review and vacate the judgment confirming the arbitration award</w:t>
      </w:r>
      <w:r w:rsidR="00E4720B">
        <w:rPr>
          <w:rFonts w:ascii="Garamond" w:hAnsi="Garamond"/>
          <w:bCs/>
          <w:snapToGrid w:val="0"/>
          <w:sz w:val="24"/>
          <w:szCs w:val="24"/>
        </w:rPr>
        <w:t xml:space="preserve">. </w:t>
      </w:r>
    </w:p>
    <w:p w14:paraId="7630DCE3" w14:textId="77777777" w:rsidR="00C03514" w:rsidRDefault="00C03514" w:rsidP="00C03514">
      <w:pPr>
        <w:spacing w:line="480" w:lineRule="auto"/>
        <w:jc w:val="both"/>
        <w:rPr>
          <w:rFonts w:ascii="Garamond" w:hAnsi="Garamond"/>
          <w:bCs/>
          <w:snapToGrid w:val="0"/>
          <w:sz w:val="24"/>
          <w:szCs w:val="24"/>
        </w:rPr>
      </w:pPr>
    </w:p>
    <w:p w14:paraId="77766F0E" w14:textId="77777777" w:rsidR="00C03514" w:rsidRDefault="00C03514" w:rsidP="00C03514">
      <w:pPr>
        <w:spacing w:line="480" w:lineRule="auto"/>
        <w:jc w:val="both"/>
        <w:rPr>
          <w:rFonts w:ascii="Garamond" w:hAnsi="Garamond"/>
          <w:bCs/>
          <w:snapToGrid w:val="0"/>
          <w:sz w:val="24"/>
          <w:szCs w:val="24"/>
        </w:rPr>
      </w:pPr>
    </w:p>
    <w:p w14:paraId="3AF4FC26" w14:textId="77777777" w:rsidR="00C03514" w:rsidRPr="00C03514" w:rsidRDefault="00C03514" w:rsidP="00C03514">
      <w:pPr>
        <w:spacing w:line="480" w:lineRule="auto"/>
        <w:jc w:val="both"/>
        <w:rPr>
          <w:rFonts w:ascii="Garamond" w:hAnsi="Garamond"/>
          <w:bCs/>
          <w:snapToGrid w:val="0"/>
          <w:sz w:val="24"/>
          <w:szCs w:val="24"/>
        </w:rPr>
      </w:pPr>
    </w:p>
    <w:p w14:paraId="6A38B219" w14:textId="2E69CB5F" w:rsidR="00C03514" w:rsidRDefault="00BF4E58" w:rsidP="00C03514">
      <w:pPr>
        <w:pStyle w:val="BodyText"/>
        <w:spacing w:after="0"/>
        <w:jc w:val="center"/>
        <w:rPr>
          <w:rFonts w:ascii="Garamond" w:hAnsi="Garamond"/>
          <w:b/>
          <w:smallCaps/>
          <w:sz w:val="24"/>
          <w:szCs w:val="24"/>
        </w:rPr>
      </w:pPr>
      <w:r w:rsidRPr="00BF4E58">
        <w:rPr>
          <w:rFonts w:ascii="Garamond" w:hAnsi="Garamond"/>
          <w:b/>
          <w:smallCaps/>
          <w:sz w:val="24"/>
          <w:szCs w:val="24"/>
        </w:rPr>
        <w:lastRenderedPageBreak/>
        <w:t>Jury Demand</w:t>
      </w:r>
    </w:p>
    <w:p w14:paraId="5DF28639" w14:textId="77777777" w:rsidR="00C03514" w:rsidRDefault="00C03514" w:rsidP="00C03514">
      <w:pPr>
        <w:pStyle w:val="BodyText"/>
        <w:spacing w:after="0"/>
        <w:jc w:val="center"/>
        <w:rPr>
          <w:rFonts w:ascii="Garamond" w:hAnsi="Garamond"/>
          <w:b/>
          <w:smallCaps/>
          <w:sz w:val="24"/>
          <w:szCs w:val="24"/>
        </w:rPr>
      </w:pPr>
    </w:p>
    <w:p w14:paraId="6F19CDA0" w14:textId="77777777" w:rsidR="00C03514" w:rsidRDefault="00C03514" w:rsidP="00C03514">
      <w:pPr>
        <w:pStyle w:val="BodyText"/>
        <w:spacing w:after="0" w:line="480" w:lineRule="auto"/>
        <w:jc w:val="both"/>
        <w:rPr>
          <w:rFonts w:ascii="Garamond" w:hAnsi="Garamond"/>
          <w:b/>
          <w:smallCaps/>
          <w:sz w:val="24"/>
          <w:szCs w:val="24"/>
        </w:rPr>
      </w:pPr>
      <w:r>
        <w:rPr>
          <w:rFonts w:ascii="Garamond" w:hAnsi="Garamond"/>
          <w:sz w:val="24"/>
          <w:szCs w:val="24"/>
        </w:rPr>
        <w:tab/>
      </w:r>
      <w:r w:rsidR="00BF4E58" w:rsidRPr="00BF4E58">
        <w:rPr>
          <w:rFonts w:ascii="Garamond" w:hAnsi="Garamond"/>
          <w:sz w:val="24"/>
          <w:szCs w:val="24"/>
        </w:rPr>
        <w:t>Plaintiff</w:t>
      </w:r>
      <w:r w:rsidR="00BF4E58">
        <w:rPr>
          <w:rFonts w:ascii="Garamond" w:hAnsi="Garamond"/>
          <w:sz w:val="24"/>
          <w:szCs w:val="24"/>
        </w:rPr>
        <w:t>s</w:t>
      </w:r>
      <w:r w:rsidR="00BF4E58" w:rsidRPr="00BF4E58">
        <w:rPr>
          <w:rFonts w:ascii="Garamond" w:hAnsi="Garamond"/>
          <w:sz w:val="24"/>
          <w:szCs w:val="24"/>
        </w:rPr>
        <w:t xml:space="preserve"> desire to have a jury decide this case and make this formal request pursuant to Texas Rule of Civil Procedure 216. This request is filed more than thirty days before this case has been scheduled for trial and all fees have been paid. </w:t>
      </w:r>
    </w:p>
    <w:p w14:paraId="10FEC031" w14:textId="181FCDC0" w:rsidR="00C03514" w:rsidRPr="00BF4E58" w:rsidRDefault="00BF4E58" w:rsidP="00C03514">
      <w:pPr>
        <w:pStyle w:val="BodyText"/>
        <w:spacing w:after="0"/>
        <w:jc w:val="center"/>
        <w:rPr>
          <w:rFonts w:ascii="Garamond" w:hAnsi="Garamond"/>
          <w:b/>
          <w:smallCaps/>
          <w:sz w:val="24"/>
          <w:szCs w:val="24"/>
        </w:rPr>
      </w:pPr>
      <w:r w:rsidRPr="00BF4E58">
        <w:rPr>
          <w:rFonts w:ascii="Garamond" w:hAnsi="Garamond"/>
          <w:b/>
          <w:smallCaps/>
          <w:sz w:val="24"/>
          <w:szCs w:val="24"/>
        </w:rPr>
        <w:t xml:space="preserve">Notice </w:t>
      </w:r>
      <w:r>
        <w:rPr>
          <w:rFonts w:ascii="Garamond" w:hAnsi="Garamond"/>
          <w:b/>
          <w:smallCaps/>
          <w:sz w:val="24"/>
          <w:szCs w:val="24"/>
        </w:rPr>
        <w:t>o</w:t>
      </w:r>
      <w:r w:rsidRPr="00BF4E58">
        <w:rPr>
          <w:rFonts w:ascii="Garamond" w:hAnsi="Garamond"/>
          <w:b/>
          <w:smallCaps/>
          <w:sz w:val="24"/>
          <w:szCs w:val="24"/>
        </w:rPr>
        <w:t xml:space="preserve">f Intent </w:t>
      </w:r>
      <w:r>
        <w:rPr>
          <w:rFonts w:ascii="Garamond" w:hAnsi="Garamond"/>
          <w:b/>
          <w:smallCaps/>
          <w:sz w:val="24"/>
          <w:szCs w:val="24"/>
        </w:rPr>
        <w:t>t</w:t>
      </w:r>
      <w:r w:rsidRPr="00BF4E58">
        <w:rPr>
          <w:rFonts w:ascii="Garamond" w:hAnsi="Garamond"/>
          <w:b/>
          <w:smallCaps/>
          <w:sz w:val="24"/>
          <w:szCs w:val="24"/>
        </w:rPr>
        <w:t>o Use Produced Documents</w:t>
      </w:r>
    </w:p>
    <w:p w14:paraId="17A6890C" w14:textId="2D7BE3A5" w:rsidR="00BF4E58" w:rsidRPr="00823D9E" w:rsidRDefault="00BF4E58" w:rsidP="00C03514">
      <w:pPr>
        <w:tabs>
          <w:tab w:val="left" w:pos="4140"/>
        </w:tabs>
        <w:rPr>
          <w:rFonts w:ascii="Garamond" w:hAnsi="Garamond"/>
          <w:b/>
          <w:sz w:val="24"/>
          <w:szCs w:val="24"/>
        </w:rPr>
      </w:pPr>
    </w:p>
    <w:p w14:paraId="6AE45CCF" w14:textId="77777777" w:rsidR="00BF4E58" w:rsidRPr="00BF4E58" w:rsidRDefault="00BF4E58" w:rsidP="00BF4E58">
      <w:pPr>
        <w:spacing w:line="480" w:lineRule="auto"/>
        <w:ind w:firstLine="720"/>
        <w:jc w:val="both"/>
        <w:rPr>
          <w:rFonts w:ascii="Garamond" w:hAnsi="Garamond"/>
          <w:sz w:val="24"/>
          <w:szCs w:val="24"/>
        </w:rPr>
      </w:pPr>
      <w:r w:rsidRPr="00BF4E58">
        <w:rPr>
          <w:rFonts w:ascii="Garamond" w:hAnsi="Garamond"/>
          <w:sz w:val="24"/>
          <w:szCs w:val="24"/>
        </w:rPr>
        <w:t xml:space="preserve">Pursuant to Rule 193.7 of the Texas Rules of Civil Procedure, each party is hereby given notice of Plaintiff’s intent to use any and all documents produced by any and all parties at any pretrial hearing, deposition, proceeding, the trial of this matter, or any combination thereof. </w:t>
      </w:r>
    </w:p>
    <w:p w14:paraId="55C96E07" w14:textId="5CF5D51B" w:rsidR="00BF4E58" w:rsidRPr="00BF4E58" w:rsidRDefault="00BF4E58" w:rsidP="00BF4E58">
      <w:pPr>
        <w:pStyle w:val="BodyText"/>
        <w:spacing w:after="0"/>
        <w:jc w:val="center"/>
        <w:rPr>
          <w:rFonts w:ascii="Garamond" w:hAnsi="Garamond"/>
          <w:b/>
          <w:smallCaps/>
          <w:sz w:val="24"/>
          <w:szCs w:val="24"/>
        </w:rPr>
      </w:pPr>
      <w:r w:rsidRPr="00BF4E58">
        <w:rPr>
          <w:rFonts w:ascii="Garamond" w:hAnsi="Garamond"/>
          <w:b/>
          <w:smallCaps/>
          <w:sz w:val="24"/>
          <w:szCs w:val="24"/>
        </w:rPr>
        <w:t>Prayer</w:t>
      </w:r>
    </w:p>
    <w:p w14:paraId="2B8EF410" w14:textId="77777777" w:rsidR="00BF4E58" w:rsidRPr="00823D9E" w:rsidRDefault="00BF4E58" w:rsidP="00BF4E58">
      <w:pPr>
        <w:pStyle w:val="BodyText"/>
        <w:spacing w:after="0"/>
        <w:jc w:val="center"/>
        <w:rPr>
          <w:rFonts w:ascii="Garamond" w:hAnsi="Garamond"/>
          <w:b/>
          <w:sz w:val="24"/>
          <w:szCs w:val="24"/>
          <w:u w:val="single"/>
        </w:rPr>
      </w:pPr>
    </w:p>
    <w:p w14:paraId="433F9C4B" w14:textId="3B4513D9" w:rsidR="0097261F" w:rsidRPr="003403A2" w:rsidRDefault="00BF4E58" w:rsidP="003403A2">
      <w:pPr>
        <w:pStyle w:val="BodyText"/>
        <w:spacing w:after="0" w:line="480" w:lineRule="auto"/>
        <w:ind w:firstLine="720"/>
        <w:jc w:val="both"/>
        <w:rPr>
          <w:rFonts w:ascii="Garamond" w:hAnsi="Garamond"/>
          <w:sz w:val="24"/>
          <w:szCs w:val="24"/>
        </w:rPr>
      </w:pPr>
      <w:r w:rsidRPr="00823D9E">
        <w:rPr>
          <w:rFonts w:ascii="Garamond" w:hAnsi="Garamond"/>
          <w:sz w:val="24"/>
          <w:szCs w:val="24"/>
        </w:rPr>
        <w:t>WHEREFORE, Plaintiff</w:t>
      </w:r>
      <w:r>
        <w:rPr>
          <w:rFonts w:ascii="Garamond" w:hAnsi="Garamond"/>
          <w:sz w:val="24"/>
          <w:szCs w:val="24"/>
        </w:rPr>
        <w:t>s</w:t>
      </w:r>
      <w:r w:rsidRPr="00823D9E">
        <w:rPr>
          <w:rFonts w:ascii="Garamond" w:hAnsi="Garamond"/>
          <w:sz w:val="24"/>
          <w:szCs w:val="24"/>
        </w:rPr>
        <w:t xml:space="preserve"> pray that after trial herein, that </w:t>
      </w:r>
      <w:r>
        <w:rPr>
          <w:rFonts w:ascii="Garamond" w:hAnsi="Garamond"/>
          <w:sz w:val="24"/>
          <w:szCs w:val="24"/>
        </w:rPr>
        <w:t xml:space="preserve">this bill of review be granted, that the underlying </w:t>
      </w:r>
      <w:r w:rsidRPr="00823D9E">
        <w:rPr>
          <w:rFonts w:ascii="Garamond" w:hAnsi="Garamond"/>
          <w:sz w:val="24"/>
          <w:szCs w:val="24"/>
        </w:rPr>
        <w:t xml:space="preserve">judgment be </w:t>
      </w:r>
      <w:r>
        <w:rPr>
          <w:rFonts w:ascii="Garamond" w:hAnsi="Garamond"/>
          <w:sz w:val="24"/>
          <w:szCs w:val="24"/>
        </w:rPr>
        <w:t xml:space="preserve">vacated, </w:t>
      </w:r>
      <w:r w:rsidRPr="00823D9E">
        <w:rPr>
          <w:rFonts w:ascii="Garamond" w:hAnsi="Garamond"/>
          <w:sz w:val="24"/>
          <w:szCs w:val="24"/>
        </w:rPr>
        <w:t>that costs of court be taxed against Defendant</w:t>
      </w:r>
      <w:r>
        <w:rPr>
          <w:rFonts w:ascii="Garamond" w:hAnsi="Garamond"/>
          <w:sz w:val="24"/>
          <w:szCs w:val="24"/>
        </w:rPr>
        <w:t>s</w:t>
      </w:r>
      <w:r w:rsidRPr="00823D9E">
        <w:rPr>
          <w:rFonts w:ascii="Garamond" w:hAnsi="Garamond"/>
          <w:sz w:val="24"/>
          <w:szCs w:val="24"/>
        </w:rPr>
        <w:t>, and for such other and further relief, at law and in equity to which Plaintiff</w:t>
      </w:r>
      <w:r>
        <w:rPr>
          <w:rFonts w:ascii="Garamond" w:hAnsi="Garamond"/>
          <w:sz w:val="24"/>
          <w:szCs w:val="24"/>
        </w:rPr>
        <w:t>s</w:t>
      </w:r>
      <w:r w:rsidRPr="00823D9E">
        <w:rPr>
          <w:rFonts w:ascii="Garamond" w:hAnsi="Garamond"/>
          <w:sz w:val="24"/>
          <w:szCs w:val="24"/>
        </w:rPr>
        <w:t xml:space="preserve"> may show </w:t>
      </w:r>
      <w:r>
        <w:rPr>
          <w:rFonts w:ascii="Garamond" w:hAnsi="Garamond"/>
          <w:sz w:val="24"/>
          <w:szCs w:val="24"/>
        </w:rPr>
        <w:t>themselves</w:t>
      </w:r>
      <w:r w:rsidRPr="00823D9E">
        <w:rPr>
          <w:rFonts w:ascii="Garamond" w:hAnsi="Garamond"/>
          <w:sz w:val="24"/>
          <w:szCs w:val="24"/>
        </w:rPr>
        <w:t xml:space="preserve"> to be justly entitled. </w:t>
      </w:r>
    </w:p>
    <w:p w14:paraId="3B09E5BE" w14:textId="0C3AB508" w:rsidR="006D4A39" w:rsidRPr="00D23BFB" w:rsidRDefault="006D4A39" w:rsidP="006D4A39">
      <w:pPr>
        <w:ind w:left="4680"/>
        <w:jc w:val="both"/>
        <w:rPr>
          <w:rFonts w:ascii="Garamond" w:eastAsia="Calibri" w:hAnsi="Garamond"/>
          <w:bCs/>
          <w:sz w:val="24"/>
          <w:szCs w:val="24"/>
        </w:rPr>
      </w:pPr>
      <w:r w:rsidRPr="00D23BFB">
        <w:rPr>
          <w:rFonts w:ascii="Garamond" w:eastAsia="Calibri" w:hAnsi="Garamond"/>
          <w:bCs/>
          <w:sz w:val="24"/>
          <w:szCs w:val="24"/>
        </w:rPr>
        <w:t>Respectfully submitted,</w:t>
      </w:r>
    </w:p>
    <w:p w14:paraId="05BF8103" w14:textId="77777777" w:rsidR="006D4A39" w:rsidRPr="00D23BFB" w:rsidRDefault="006D4A39" w:rsidP="006D4A39">
      <w:pPr>
        <w:jc w:val="both"/>
        <w:rPr>
          <w:rFonts w:ascii="Garamond" w:eastAsia="Calibri" w:hAnsi="Garamond"/>
          <w:b/>
          <w:smallCaps/>
          <w:sz w:val="24"/>
          <w:szCs w:val="24"/>
        </w:rPr>
      </w:pPr>
    </w:p>
    <w:p w14:paraId="1EC51267" w14:textId="77777777" w:rsidR="006D4A39" w:rsidRPr="00D23BFB" w:rsidRDefault="006D4A39" w:rsidP="006D4A39">
      <w:pPr>
        <w:ind w:left="4680"/>
        <w:jc w:val="both"/>
        <w:rPr>
          <w:rFonts w:ascii="Garamond" w:eastAsia="Calibri" w:hAnsi="Garamond"/>
          <w:smallCaps/>
          <w:sz w:val="24"/>
          <w:szCs w:val="24"/>
        </w:rPr>
      </w:pPr>
      <w:r w:rsidRPr="00D23BFB">
        <w:rPr>
          <w:rFonts w:ascii="Garamond" w:eastAsia="Calibri" w:hAnsi="Garamond"/>
          <w:b/>
          <w:smallCaps/>
          <w:sz w:val="24"/>
          <w:szCs w:val="24"/>
        </w:rPr>
        <w:t>The Kassab Law Firm</w:t>
      </w:r>
    </w:p>
    <w:p w14:paraId="095FC9BF" w14:textId="77777777" w:rsidR="006D4A39" w:rsidRPr="00D23BFB" w:rsidRDefault="006D4A39" w:rsidP="006D4A39">
      <w:pPr>
        <w:jc w:val="both"/>
        <w:rPr>
          <w:rFonts w:ascii="Garamond" w:hAnsi="Garamond"/>
          <w:smallCaps/>
          <w:sz w:val="24"/>
          <w:szCs w:val="24"/>
        </w:rPr>
      </w:pPr>
    </w:p>
    <w:p w14:paraId="3ACB4D13" w14:textId="1D951824" w:rsidR="006D4A39" w:rsidRPr="00D23BFB" w:rsidRDefault="006D4A39" w:rsidP="006D4A39">
      <w:pPr>
        <w:ind w:left="5040"/>
        <w:jc w:val="both"/>
        <w:rPr>
          <w:rFonts w:ascii="Garamond" w:hAnsi="Garamond"/>
          <w:smallCaps/>
          <w:sz w:val="24"/>
          <w:szCs w:val="24"/>
          <w:u w:val="single"/>
        </w:rPr>
      </w:pPr>
      <w:r w:rsidRPr="00D23BFB">
        <w:rPr>
          <w:rFonts w:ascii="Garamond" w:hAnsi="Garamond"/>
          <w:i/>
          <w:iCs/>
          <w:smallCaps/>
          <w:sz w:val="24"/>
          <w:szCs w:val="24"/>
          <w:u w:val="single"/>
        </w:rPr>
        <w:t xml:space="preserve">/s/ </w:t>
      </w:r>
      <w:r w:rsidR="009A3A3D" w:rsidRPr="000D3625">
        <w:rPr>
          <w:rFonts w:ascii="Garamond" w:hAnsi="Garamond"/>
          <w:i/>
          <w:iCs/>
          <w:sz w:val="24"/>
          <w:szCs w:val="24"/>
          <w:u w:val="single"/>
        </w:rPr>
        <w:t>David Eric Kassab</w:t>
      </w:r>
    </w:p>
    <w:p w14:paraId="24589D95" w14:textId="77777777" w:rsidR="006D4A39" w:rsidRPr="00D23BFB" w:rsidRDefault="006D4A39" w:rsidP="006D4A39">
      <w:pPr>
        <w:tabs>
          <w:tab w:val="left" w:pos="-1440"/>
          <w:tab w:val="left" w:pos="-720"/>
          <w:tab w:val="left" w:pos="0"/>
          <w:tab w:val="left" w:pos="720"/>
          <w:tab w:val="left" w:pos="1440"/>
          <w:tab w:val="left" w:pos="2160"/>
          <w:tab w:val="left" w:pos="2880"/>
          <w:tab w:val="left" w:pos="3600"/>
          <w:tab w:val="left" w:pos="4320"/>
          <w:tab w:val="left" w:pos="5040"/>
          <w:tab w:val="right" w:pos="9360"/>
        </w:tabs>
        <w:jc w:val="both"/>
        <w:rPr>
          <w:rFonts w:ascii="Garamond" w:hAnsi="Garamond"/>
          <w:bCs/>
          <w:smallCaps/>
          <w:sz w:val="24"/>
          <w:szCs w:val="24"/>
        </w:rPr>
      </w:pPr>
      <w:r w:rsidRPr="00D23BFB">
        <w:rPr>
          <w:rFonts w:ascii="Garamond" w:hAnsi="Garamond"/>
          <w:bCs/>
          <w:smallCaps/>
          <w:sz w:val="24"/>
          <w:szCs w:val="24"/>
        </w:rPr>
        <w:tab/>
      </w:r>
      <w:r w:rsidRPr="00D23BFB">
        <w:rPr>
          <w:rFonts w:ascii="Garamond" w:hAnsi="Garamond"/>
          <w:bCs/>
          <w:smallCaps/>
          <w:sz w:val="24"/>
          <w:szCs w:val="24"/>
        </w:rPr>
        <w:tab/>
      </w:r>
      <w:r w:rsidRPr="00D23BFB">
        <w:rPr>
          <w:rFonts w:ascii="Garamond" w:hAnsi="Garamond"/>
          <w:bCs/>
          <w:smallCaps/>
          <w:sz w:val="24"/>
          <w:szCs w:val="24"/>
        </w:rPr>
        <w:tab/>
      </w:r>
      <w:r w:rsidRPr="00D23BFB">
        <w:rPr>
          <w:rFonts w:ascii="Garamond" w:hAnsi="Garamond"/>
          <w:bCs/>
          <w:smallCaps/>
          <w:sz w:val="24"/>
          <w:szCs w:val="24"/>
        </w:rPr>
        <w:tab/>
      </w:r>
      <w:r w:rsidRPr="00D23BFB">
        <w:rPr>
          <w:rFonts w:ascii="Garamond" w:hAnsi="Garamond"/>
          <w:bCs/>
          <w:smallCaps/>
          <w:sz w:val="24"/>
          <w:szCs w:val="24"/>
        </w:rPr>
        <w:tab/>
      </w:r>
      <w:r w:rsidRPr="00D23BFB">
        <w:rPr>
          <w:rFonts w:ascii="Garamond" w:hAnsi="Garamond"/>
          <w:bCs/>
          <w:smallCaps/>
          <w:sz w:val="24"/>
          <w:szCs w:val="24"/>
        </w:rPr>
        <w:tab/>
      </w:r>
      <w:r w:rsidRPr="00D23BFB">
        <w:rPr>
          <w:rFonts w:ascii="Garamond" w:hAnsi="Garamond"/>
          <w:bCs/>
          <w:sz w:val="24"/>
          <w:szCs w:val="24"/>
        </w:rPr>
        <w:tab/>
      </w:r>
      <w:r w:rsidRPr="00D23BFB">
        <w:rPr>
          <w:rFonts w:ascii="Garamond" w:hAnsi="Garamond"/>
          <w:bCs/>
          <w:smallCaps/>
          <w:sz w:val="24"/>
          <w:szCs w:val="24"/>
        </w:rPr>
        <w:t>Lance Christopher Kassab</w:t>
      </w:r>
    </w:p>
    <w:p w14:paraId="76A22223" w14:textId="77777777" w:rsidR="006D4A39" w:rsidRPr="00D23BFB" w:rsidRDefault="006D4A39" w:rsidP="006D4A39">
      <w:pPr>
        <w:widowControl w:val="0"/>
        <w:ind w:left="5040"/>
        <w:jc w:val="both"/>
        <w:rPr>
          <w:rFonts w:ascii="Garamond" w:hAnsi="Garamond"/>
          <w:bCs/>
          <w:snapToGrid w:val="0"/>
          <w:sz w:val="24"/>
          <w:szCs w:val="24"/>
        </w:rPr>
      </w:pPr>
      <w:r w:rsidRPr="00D23BFB">
        <w:rPr>
          <w:rFonts w:ascii="Garamond" w:hAnsi="Garamond"/>
          <w:bCs/>
          <w:snapToGrid w:val="0"/>
          <w:sz w:val="24"/>
          <w:szCs w:val="24"/>
        </w:rPr>
        <w:t>Texas State Bar No. 00794070</w:t>
      </w:r>
    </w:p>
    <w:p w14:paraId="45047DB8" w14:textId="35631AAD" w:rsidR="006D4A39" w:rsidRPr="001F242F" w:rsidRDefault="000D3625" w:rsidP="006D4A39">
      <w:pPr>
        <w:widowControl w:val="0"/>
        <w:ind w:left="5040"/>
        <w:jc w:val="both"/>
        <w:rPr>
          <w:rFonts w:ascii="Garamond" w:hAnsi="Garamond"/>
          <w:bCs/>
          <w:snapToGrid w:val="0"/>
          <w:sz w:val="24"/>
          <w:szCs w:val="24"/>
        </w:rPr>
      </w:pPr>
      <w:hyperlink r:id="rId7" w:history="1">
        <w:r w:rsidRPr="001F242F">
          <w:rPr>
            <w:rStyle w:val="Hyperlink"/>
            <w:rFonts w:ascii="Garamond" w:hAnsi="Garamond"/>
            <w:bCs/>
            <w:snapToGrid w:val="0"/>
            <w:sz w:val="24"/>
            <w:szCs w:val="24"/>
          </w:rPr>
          <w:t>lance@kassab.law</w:t>
        </w:r>
      </w:hyperlink>
      <w:r w:rsidRPr="001F242F">
        <w:rPr>
          <w:rFonts w:ascii="Garamond" w:hAnsi="Garamond"/>
          <w:bCs/>
          <w:snapToGrid w:val="0"/>
          <w:sz w:val="24"/>
          <w:szCs w:val="24"/>
        </w:rPr>
        <w:t xml:space="preserve"> </w:t>
      </w:r>
    </w:p>
    <w:p w14:paraId="5857CFFD" w14:textId="77777777" w:rsidR="006D4A39" w:rsidRPr="00365FE9" w:rsidRDefault="006D4A39" w:rsidP="006D4A39">
      <w:pPr>
        <w:widowControl w:val="0"/>
        <w:ind w:left="5040"/>
        <w:jc w:val="both"/>
        <w:rPr>
          <w:rFonts w:ascii="Garamond" w:hAnsi="Garamond"/>
          <w:bCs/>
          <w:smallCaps/>
          <w:snapToGrid w:val="0"/>
          <w:sz w:val="24"/>
          <w:szCs w:val="24"/>
        </w:rPr>
      </w:pPr>
      <w:r w:rsidRPr="00365FE9">
        <w:rPr>
          <w:rFonts w:ascii="Garamond" w:hAnsi="Garamond"/>
          <w:bCs/>
          <w:smallCaps/>
          <w:snapToGrid w:val="0"/>
          <w:sz w:val="24"/>
          <w:szCs w:val="24"/>
        </w:rPr>
        <w:t>David Eric Kassab</w:t>
      </w:r>
    </w:p>
    <w:p w14:paraId="3BD2F613" w14:textId="77777777" w:rsidR="006D4A39" w:rsidRPr="00D23BFB" w:rsidRDefault="006D4A39" w:rsidP="006D4A39">
      <w:pPr>
        <w:widowControl w:val="0"/>
        <w:ind w:left="5040"/>
        <w:jc w:val="both"/>
        <w:rPr>
          <w:rFonts w:ascii="Garamond" w:hAnsi="Garamond"/>
          <w:bCs/>
          <w:snapToGrid w:val="0"/>
          <w:sz w:val="24"/>
          <w:szCs w:val="24"/>
        </w:rPr>
      </w:pPr>
      <w:r w:rsidRPr="00D23BFB">
        <w:rPr>
          <w:rFonts w:ascii="Garamond" w:hAnsi="Garamond"/>
          <w:bCs/>
          <w:snapToGrid w:val="0"/>
          <w:sz w:val="24"/>
          <w:szCs w:val="24"/>
        </w:rPr>
        <w:t>Texas State Bar No. 24071351</w:t>
      </w:r>
    </w:p>
    <w:p w14:paraId="27371696" w14:textId="19478638" w:rsidR="006D4A39" w:rsidRPr="00D23BFB" w:rsidRDefault="000D3625" w:rsidP="006D4A39">
      <w:pPr>
        <w:widowControl w:val="0"/>
        <w:ind w:left="5040"/>
        <w:jc w:val="both"/>
        <w:rPr>
          <w:rFonts w:ascii="Garamond" w:hAnsi="Garamond"/>
          <w:bCs/>
          <w:snapToGrid w:val="0"/>
          <w:sz w:val="24"/>
          <w:szCs w:val="24"/>
        </w:rPr>
      </w:pPr>
      <w:hyperlink r:id="rId8" w:history="1">
        <w:r w:rsidRPr="00EB13B0">
          <w:rPr>
            <w:rStyle w:val="Hyperlink"/>
            <w:rFonts w:ascii="Garamond" w:hAnsi="Garamond"/>
            <w:bCs/>
            <w:snapToGrid w:val="0"/>
            <w:sz w:val="24"/>
            <w:szCs w:val="24"/>
          </w:rPr>
          <w:t>david@kassab.law</w:t>
        </w:r>
      </w:hyperlink>
      <w:r>
        <w:rPr>
          <w:rFonts w:ascii="Garamond" w:hAnsi="Garamond"/>
          <w:bCs/>
          <w:snapToGrid w:val="0"/>
          <w:sz w:val="24"/>
          <w:szCs w:val="24"/>
        </w:rPr>
        <w:t xml:space="preserve"> </w:t>
      </w:r>
      <w:r w:rsidR="006D4A39" w:rsidRPr="00D23BFB">
        <w:rPr>
          <w:rFonts w:ascii="Garamond" w:hAnsi="Garamond"/>
          <w:bCs/>
          <w:snapToGrid w:val="0"/>
          <w:sz w:val="24"/>
          <w:szCs w:val="24"/>
        </w:rPr>
        <w:t xml:space="preserve"> </w:t>
      </w:r>
    </w:p>
    <w:p w14:paraId="076A509D" w14:textId="77777777" w:rsidR="006D4A39" w:rsidRPr="00D23BFB" w:rsidRDefault="006D4A39" w:rsidP="006D4A39">
      <w:pPr>
        <w:widowControl w:val="0"/>
        <w:ind w:left="5040"/>
        <w:jc w:val="both"/>
        <w:rPr>
          <w:rFonts w:ascii="Garamond" w:hAnsi="Garamond"/>
          <w:snapToGrid w:val="0"/>
          <w:sz w:val="24"/>
          <w:szCs w:val="24"/>
        </w:rPr>
      </w:pPr>
      <w:r w:rsidRPr="00D23BFB">
        <w:rPr>
          <w:rFonts w:ascii="Garamond" w:hAnsi="Garamond"/>
          <w:snapToGrid w:val="0"/>
          <w:sz w:val="24"/>
          <w:szCs w:val="24"/>
        </w:rPr>
        <w:t xml:space="preserve">1214 Elgin Street </w:t>
      </w:r>
    </w:p>
    <w:p w14:paraId="14A33B87" w14:textId="77777777" w:rsidR="006D4A39" w:rsidRPr="00D23BFB" w:rsidRDefault="006D4A39" w:rsidP="006D4A39">
      <w:pPr>
        <w:widowControl w:val="0"/>
        <w:ind w:left="5040"/>
        <w:jc w:val="both"/>
        <w:rPr>
          <w:rFonts w:ascii="Garamond" w:hAnsi="Garamond"/>
          <w:snapToGrid w:val="0"/>
          <w:sz w:val="24"/>
          <w:szCs w:val="24"/>
        </w:rPr>
      </w:pPr>
      <w:r w:rsidRPr="00D23BFB">
        <w:rPr>
          <w:rFonts w:ascii="Garamond" w:hAnsi="Garamond"/>
          <w:snapToGrid w:val="0"/>
          <w:sz w:val="24"/>
          <w:szCs w:val="24"/>
        </w:rPr>
        <w:t>Houston, Texas 77004</w:t>
      </w:r>
    </w:p>
    <w:p w14:paraId="552F6F20" w14:textId="77777777" w:rsidR="006D4A39" w:rsidRPr="00D23BFB" w:rsidRDefault="006D4A39" w:rsidP="006D4A39">
      <w:pPr>
        <w:widowControl w:val="0"/>
        <w:tabs>
          <w:tab w:val="left" w:pos="5760"/>
        </w:tabs>
        <w:ind w:left="5040"/>
        <w:jc w:val="both"/>
        <w:rPr>
          <w:rFonts w:ascii="Garamond" w:hAnsi="Garamond"/>
          <w:snapToGrid w:val="0"/>
          <w:sz w:val="24"/>
          <w:szCs w:val="24"/>
        </w:rPr>
      </w:pPr>
      <w:r w:rsidRPr="00D23BFB">
        <w:rPr>
          <w:rFonts w:ascii="Garamond" w:hAnsi="Garamond"/>
          <w:snapToGrid w:val="0"/>
          <w:sz w:val="24"/>
          <w:szCs w:val="24"/>
        </w:rPr>
        <w:t xml:space="preserve">Telephone: 713-522-7400 </w:t>
      </w:r>
    </w:p>
    <w:p w14:paraId="17C70A99" w14:textId="77777777" w:rsidR="006D4A39" w:rsidRDefault="006D4A39" w:rsidP="006D4A39">
      <w:pPr>
        <w:widowControl w:val="0"/>
        <w:tabs>
          <w:tab w:val="left" w:pos="5760"/>
        </w:tabs>
        <w:ind w:left="5040"/>
        <w:jc w:val="both"/>
        <w:rPr>
          <w:rFonts w:ascii="Garamond" w:hAnsi="Garamond"/>
          <w:snapToGrid w:val="0"/>
          <w:sz w:val="24"/>
          <w:szCs w:val="24"/>
        </w:rPr>
      </w:pPr>
      <w:r w:rsidRPr="00D23BFB">
        <w:rPr>
          <w:rFonts w:ascii="Garamond" w:hAnsi="Garamond"/>
          <w:snapToGrid w:val="0"/>
          <w:sz w:val="24"/>
          <w:szCs w:val="24"/>
        </w:rPr>
        <w:t>Facsimile:  713-522-7410</w:t>
      </w:r>
    </w:p>
    <w:p w14:paraId="1A317FCA" w14:textId="57A4E738" w:rsidR="000D3625" w:rsidRPr="00D23BFB" w:rsidRDefault="000D3625" w:rsidP="006D4A39">
      <w:pPr>
        <w:widowControl w:val="0"/>
        <w:tabs>
          <w:tab w:val="left" w:pos="5760"/>
        </w:tabs>
        <w:ind w:left="5040"/>
        <w:jc w:val="both"/>
        <w:rPr>
          <w:rFonts w:ascii="Garamond" w:hAnsi="Garamond"/>
          <w:snapToGrid w:val="0"/>
          <w:sz w:val="24"/>
          <w:szCs w:val="24"/>
        </w:rPr>
      </w:pPr>
      <w:r>
        <w:rPr>
          <w:rFonts w:ascii="Garamond" w:hAnsi="Garamond"/>
          <w:snapToGrid w:val="0"/>
          <w:sz w:val="24"/>
          <w:szCs w:val="24"/>
        </w:rPr>
        <w:t xml:space="preserve">Electronic Service: </w:t>
      </w:r>
      <w:hyperlink r:id="rId9" w:history="1">
        <w:r w:rsidRPr="00EB13B0">
          <w:rPr>
            <w:rStyle w:val="Hyperlink"/>
            <w:rFonts w:ascii="Garamond" w:hAnsi="Garamond"/>
            <w:snapToGrid w:val="0"/>
            <w:sz w:val="24"/>
            <w:szCs w:val="24"/>
          </w:rPr>
          <w:t>eserve@kassab.law</w:t>
        </w:r>
      </w:hyperlink>
      <w:r>
        <w:rPr>
          <w:rFonts w:ascii="Garamond" w:hAnsi="Garamond"/>
          <w:snapToGrid w:val="0"/>
          <w:sz w:val="24"/>
          <w:szCs w:val="24"/>
        </w:rPr>
        <w:t xml:space="preserve"> </w:t>
      </w:r>
    </w:p>
    <w:p w14:paraId="49EE5F9B" w14:textId="77777777" w:rsidR="006D4A39" w:rsidRPr="00D23BFB" w:rsidRDefault="006D4A39" w:rsidP="006D4A39">
      <w:pPr>
        <w:tabs>
          <w:tab w:val="left" w:pos="5760"/>
        </w:tabs>
        <w:ind w:left="5040"/>
        <w:jc w:val="both"/>
        <w:rPr>
          <w:rFonts w:ascii="Garamond" w:eastAsia="Calibri" w:hAnsi="Garamond"/>
          <w:sz w:val="24"/>
          <w:szCs w:val="24"/>
        </w:rPr>
      </w:pPr>
    </w:p>
    <w:p w14:paraId="7FD181D5" w14:textId="7A5BBF69" w:rsidR="00E4720B" w:rsidRDefault="006D4A39" w:rsidP="006D4A39">
      <w:pPr>
        <w:widowControl w:val="0"/>
        <w:tabs>
          <w:tab w:val="left" w:pos="-1440"/>
          <w:tab w:val="left" w:pos="-1170"/>
          <w:tab w:val="left" w:pos="-720"/>
          <w:tab w:val="left" w:pos="1440"/>
          <w:tab w:val="left" w:pos="2160"/>
          <w:tab w:val="left" w:pos="4608"/>
        </w:tabs>
        <w:ind w:left="4680"/>
        <w:rPr>
          <w:rFonts w:ascii="Garamond" w:eastAsia="Calibri" w:hAnsi="Garamond"/>
          <w:b/>
          <w:sz w:val="24"/>
          <w:szCs w:val="24"/>
        </w:rPr>
      </w:pPr>
      <w:r w:rsidRPr="00D23BFB">
        <w:rPr>
          <w:rFonts w:ascii="Garamond" w:eastAsia="Calibri" w:hAnsi="Garamond"/>
          <w:b/>
          <w:sz w:val="24"/>
          <w:szCs w:val="24"/>
        </w:rPr>
        <w:t>Attorneys For Plaintiff</w:t>
      </w:r>
      <w:r w:rsidR="00BF4E58">
        <w:rPr>
          <w:rFonts w:ascii="Garamond" w:eastAsia="Calibri" w:hAnsi="Garamond"/>
          <w:b/>
          <w:sz w:val="24"/>
          <w:szCs w:val="24"/>
        </w:rPr>
        <w:t xml:space="preserve"> Caroline Allison</w:t>
      </w:r>
    </w:p>
    <w:p w14:paraId="530CBDB8" w14:textId="77777777" w:rsidR="00C03514" w:rsidRDefault="00C03514" w:rsidP="006D4A39">
      <w:pPr>
        <w:widowControl w:val="0"/>
        <w:tabs>
          <w:tab w:val="left" w:pos="-1440"/>
          <w:tab w:val="left" w:pos="-1170"/>
          <w:tab w:val="left" w:pos="-720"/>
          <w:tab w:val="left" w:pos="1440"/>
          <w:tab w:val="left" w:pos="2160"/>
          <w:tab w:val="left" w:pos="4608"/>
        </w:tabs>
        <w:ind w:left="4680"/>
        <w:rPr>
          <w:rFonts w:ascii="Garamond" w:eastAsia="Calibri" w:hAnsi="Garamond"/>
          <w:b/>
          <w:sz w:val="24"/>
          <w:szCs w:val="24"/>
        </w:rPr>
      </w:pPr>
    </w:p>
    <w:p w14:paraId="172B7A7A" w14:textId="77777777" w:rsidR="00C03514" w:rsidRPr="0097261F" w:rsidRDefault="00C03514" w:rsidP="006D4A39">
      <w:pPr>
        <w:widowControl w:val="0"/>
        <w:tabs>
          <w:tab w:val="left" w:pos="-1440"/>
          <w:tab w:val="left" w:pos="-1170"/>
          <w:tab w:val="left" w:pos="-720"/>
          <w:tab w:val="left" w:pos="1440"/>
          <w:tab w:val="left" w:pos="2160"/>
          <w:tab w:val="left" w:pos="4608"/>
        </w:tabs>
        <w:ind w:left="4680"/>
        <w:rPr>
          <w:rFonts w:ascii="Garamond" w:eastAsia="Calibri" w:hAnsi="Garamond"/>
          <w:b/>
          <w:sz w:val="24"/>
          <w:szCs w:val="24"/>
        </w:rPr>
      </w:pPr>
    </w:p>
    <w:p w14:paraId="692C2F3D" w14:textId="77777777" w:rsidR="00E4720B" w:rsidRPr="00D23BFB" w:rsidRDefault="00E4720B" w:rsidP="006D4A39">
      <w:pPr>
        <w:widowControl w:val="0"/>
        <w:tabs>
          <w:tab w:val="left" w:pos="-1440"/>
          <w:tab w:val="left" w:pos="-1170"/>
          <w:tab w:val="left" w:pos="-720"/>
          <w:tab w:val="left" w:pos="1440"/>
          <w:tab w:val="left" w:pos="2160"/>
          <w:tab w:val="left" w:pos="4608"/>
        </w:tabs>
        <w:ind w:left="4680"/>
        <w:rPr>
          <w:rFonts w:ascii="Garamond" w:eastAsia="Calibri" w:hAnsi="Garamond"/>
          <w:b/>
          <w:smallCaps/>
          <w:sz w:val="24"/>
          <w:szCs w:val="24"/>
        </w:rPr>
      </w:pPr>
    </w:p>
    <w:p w14:paraId="4E28A026" w14:textId="77777777" w:rsidR="006D4A39" w:rsidRPr="00D23BFB" w:rsidRDefault="006D4A39" w:rsidP="006D4A39">
      <w:pPr>
        <w:ind w:left="4680"/>
        <w:jc w:val="both"/>
        <w:rPr>
          <w:rFonts w:ascii="Garamond" w:hAnsi="Garamond"/>
          <w:sz w:val="24"/>
          <w:szCs w:val="24"/>
        </w:rPr>
      </w:pPr>
      <w:r w:rsidRPr="00D23BFB">
        <w:rPr>
          <w:rFonts w:ascii="Garamond" w:hAnsi="Garamond"/>
          <w:sz w:val="24"/>
          <w:szCs w:val="24"/>
        </w:rPr>
        <w:lastRenderedPageBreak/>
        <w:t>MARTIN, DISIERE, JEFFERSON &amp; WISDOM, L.L.P.</w:t>
      </w:r>
    </w:p>
    <w:p w14:paraId="07949E89" w14:textId="77777777" w:rsidR="006D4A39" w:rsidRPr="00D23BFB" w:rsidRDefault="006D4A39" w:rsidP="006D4A39">
      <w:pPr>
        <w:ind w:left="5040"/>
        <w:jc w:val="both"/>
        <w:rPr>
          <w:rFonts w:ascii="Garamond" w:hAnsi="Garamond"/>
          <w:sz w:val="24"/>
          <w:szCs w:val="24"/>
        </w:rPr>
      </w:pPr>
    </w:p>
    <w:p w14:paraId="6B92A13E" w14:textId="77777777" w:rsidR="006D4A39" w:rsidRPr="00D23BFB" w:rsidRDefault="006D4A39" w:rsidP="006D4A39">
      <w:pPr>
        <w:ind w:left="5040"/>
        <w:jc w:val="both"/>
        <w:rPr>
          <w:rFonts w:ascii="Garamond" w:hAnsi="Garamond"/>
          <w:i/>
          <w:iCs/>
          <w:sz w:val="24"/>
          <w:szCs w:val="24"/>
          <w:u w:val="single"/>
        </w:rPr>
      </w:pPr>
      <w:r w:rsidRPr="00D23BFB">
        <w:rPr>
          <w:rFonts w:ascii="Garamond" w:hAnsi="Garamond"/>
          <w:i/>
          <w:iCs/>
          <w:sz w:val="24"/>
          <w:szCs w:val="24"/>
          <w:u w:val="single"/>
        </w:rPr>
        <w:t>/s/ Dale Jefferson</w:t>
      </w:r>
      <w:r w:rsidRPr="00D23BFB">
        <w:rPr>
          <w:rFonts w:ascii="Garamond" w:hAnsi="Garamond"/>
          <w:i/>
          <w:iCs/>
          <w:sz w:val="24"/>
          <w:szCs w:val="24"/>
          <w:u w:val="single"/>
        </w:rPr>
        <w:tab/>
      </w:r>
      <w:r w:rsidRPr="00D23BFB">
        <w:rPr>
          <w:rFonts w:ascii="Garamond" w:hAnsi="Garamond"/>
          <w:i/>
          <w:iCs/>
          <w:sz w:val="24"/>
          <w:szCs w:val="24"/>
          <w:u w:val="single"/>
        </w:rPr>
        <w:tab/>
      </w:r>
      <w:r w:rsidRPr="00D23BFB">
        <w:rPr>
          <w:rFonts w:ascii="Garamond" w:hAnsi="Garamond"/>
          <w:i/>
          <w:iCs/>
          <w:sz w:val="24"/>
          <w:szCs w:val="24"/>
          <w:u w:val="single"/>
        </w:rPr>
        <w:tab/>
      </w:r>
      <w:r w:rsidRPr="00D23BFB">
        <w:rPr>
          <w:rFonts w:ascii="Garamond" w:hAnsi="Garamond"/>
          <w:i/>
          <w:iCs/>
          <w:sz w:val="24"/>
          <w:szCs w:val="24"/>
          <w:u w:val="single"/>
        </w:rPr>
        <w:tab/>
      </w:r>
    </w:p>
    <w:p w14:paraId="7340BF8E" w14:textId="77777777" w:rsidR="006D4A39" w:rsidRPr="00D23BFB" w:rsidRDefault="006D4A39" w:rsidP="006D4A39">
      <w:pPr>
        <w:ind w:left="5040"/>
        <w:jc w:val="both"/>
        <w:rPr>
          <w:rFonts w:ascii="Garamond" w:hAnsi="Garamond"/>
          <w:sz w:val="24"/>
          <w:szCs w:val="24"/>
        </w:rPr>
      </w:pPr>
      <w:r w:rsidRPr="00D23BFB">
        <w:rPr>
          <w:rFonts w:ascii="Garamond" w:hAnsi="Garamond"/>
          <w:sz w:val="24"/>
          <w:szCs w:val="24"/>
        </w:rPr>
        <w:t>Dale Jefferson</w:t>
      </w:r>
    </w:p>
    <w:p w14:paraId="1601AA7E" w14:textId="77777777" w:rsidR="006D4A39" w:rsidRPr="00D23BFB" w:rsidRDefault="006D4A39" w:rsidP="006D4A39">
      <w:pPr>
        <w:ind w:left="5040"/>
        <w:jc w:val="both"/>
        <w:rPr>
          <w:rFonts w:ascii="Garamond" w:hAnsi="Garamond"/>
          <w:sz w:val="24"/>
          <w:szCs w:val="24"/>
        </w:rPr>
      </w:pPr>
      <w:r w:rsidRPr="00D23BFB">
        <w:rPr>
          <w:rFonts w:ascii="Garamond" w:hAnsi="Garamond"/>
          <w:sz w:val="24"/>
          <w:szCs w:val="24"/>
        </w:rPr>
        <w:t>Texas Bar No. 10607900</w:t>
      </w:r>
    </w:p>
    <w:p w14:paraId="58F659A5" w14:textId="77777777" w:rsidR="006D4A39" w:rsidRPr="00365FE9" w:rsidRDefault="006D4A39" w:rsidP="006D4A39">
      <w:pPr>
        <w:ind w:left="5040"/>
        <w:jc w:val="both"/>
        <w:rPr>
          <w:rFonts w:ascii="Garamond" w:hAnsi="Garamond"/>
          <w:sz w:val="24"/>
          <w:szCs w:val="24"/>
          <w:lang w:val="it-IT"/>
        </w:rPr>
      </w:pPr>
      <w:hyperlink r:id="rId10" w:history="1">
        <w:r w:rsidRPr="00365FE9">
          <w:rPr>
            <w:rStyle w:val="Hyperlink"/>
            <w:rFonts w:ascii="Garamond" w:hAnsi="Garamond"/>
            <w:sz w:val="24"/>
            <w:szCs w:val="24"/>
            <w:lang w:val="it-IT"/>
          </w:rPr>
          <w:t>jefferson@mdjwlaw.com</w:t>
        </w:r>
      </w:hyperlink>
      <w:r w:rsidRPr="00365FE9">
        <w:rPr>
          <w:rFonts w:ascii="Garamond" w:hAnsi="Garamond"/>
          <w:sz w:val="24"/>
          <w:szCs w:val="24"/>
          <w:lang w:val="it-IT"/>
        </w:rPr>
        <w:t xml:space="preserve">  </w:t>
      </w:r>
    </w:p>
    <w:p w14:paraId="7DD9FFC8" w14:textId="77777777" w:rsidR="006D4A39" w:rsidRPr="00365FE9" w:rsidRDefault="006D4A39" w:rsidP="006D4A39">
      <w:pPr>
        <w:ind w:left="5040"/>
        <w:jc w:val="both"/>
        <w:rPr>
          <w:rFonts w:ascii="Garamond" w:hAnsi="Garamond"/>
          <w:sz w:val="24"/>
          <w:szCs w:val="24"/>
          <w:lang w:val="it-IT"/>
        </w:rPr>
      </w:pPr>
      <w:r w:rsidRPr="00365FE9">
        <w:rPr>
          <w:rFonts w:ascii="Garamond" w:hAnsi="Garamond"/>
          <w:sz w:val="24"/>
          <w:szCs w:val="24"/>
          <w:lang w:val="it-IT"/>
        </w:rPr>
        <w:t>Raul H. Suazo</w:t>
      </w:r>
    </w:p>
    <w:p w14:paraId="2F368AA0" w14:textId="77777777" w:rsidR="006D4A39" w:rsidRPr="00365FE9" w:rsidRDefault="006D4A39" w:rsidP="006D4A39">
      <w:pPr>
        <w:ind w:left="5040"/>
        <w:jc w:val="both"/>
        <w:rPr>
          <w:rFonts w:ascii="Garamond" w:hAnsi="Garamond"/>
          <w:sz w:val="24"/>
          <w:szCs w:val="24"/>
          <w:lang w:val="pt-BR"/>
        </w:rPr>
      </w:pPr>
      <w:r w:rsidRPr="00365FE9">
        <w:rPr>
          <w:rFonts w:ascii="Garamond" w:hAnsi="Garamond"/>
          <w:sz w:val="24"/>
          <w:szCs w:val="24"/>
          <w:lang w:val="pt-BR"/>
        </w:rPr>
        <w:t>Texas Bar No. 24003021</w:t>
      </w:r>
    </w:p>
    <w:p w14:paraId="5A70F66A" w14:textId="77777777" w:rsidR="006D4A39" w:rsidRPr="00365FE9" w:rsidRDefault="006D4A39" w:rsidP="006D4A39">
      <w:pPr>
        <w:ind w:left="5040"/>
        <w:jc w:val="both"/>
        <w:rPr>
          <w:rFonts w:ascii="Garamond" w:hAnsi="Garamond"/>
          <w:sz w:val="24"/>
          <w:szCs w:val="24"/>
          <w:lang w:val="pt-BR"/>
        </w:rPr>
      </w:pPr>
      <w:hyperlink r:id="rId11" w:history="1">
        <w:r w:rsidRPr="00365FE9">
          <w:rPr>
            <w:rStyle w:val="Hyperlink"/>
            <w:rFonts w:ascii="Garamond" w:hAnsi="Garamond"/>
            <w:sz w:val="24"/>
            <w:szCs w:val="24"/>
            <w:lang w:val="pt-BR"/>
          </w:rPr>
          <w:t>suazo@mdjwlaw.com</w:t>
        </w:r>
      </w:hyperlink>
      <w:r w:rsidRPr="00365FE9">
        <w:rPr>
          <w:rFonts w:ascii="Garamond" w:hAnsi="Garamond"/>
          <w:sz w:val="24"/>
          <w:szCs w:val="24"/>
          <w:lang w:val="pt-BR"/>
        </w:rPr>
        <w:t xml:space="preserve">   </w:t>
      </w:r>
    </w:p>
    <w:p w14:paraId="3AAA15A1" w14:textId="77777777" w:rsidR="006D4A39" w:rsidRPr="00365FE9" w:rsidRDefault="006D4A39" w:rsidP="006D4A39">
      <w:pPr>
        <w:ind w:left="5040"/>
        <w:jc w:val="both"/>
        <w:rPr>
          <w:rFonts w:ascii="Garamond" w:hAnsi="Garamond"/>
          <w:sz w:val="24"/>
          <w:szCs w:val="24"/>
          <w:lang w:val="pt-BR"/>
        </w:rPr>
      </w:pPr>
      <w:r w:rsidRPr="00365FE9">
        <w:rPr>
          <w:rFonts w:ascii="Garamond" w:hAnsi="Garamond"/>
          <w:sz w:val="24"/>
          <w:szCs w:val="24"/>
          <w:lang w:val="pt-BR"/>
        </w:rPr>
        <w:t>808 Travis, Suite 1100</w:t>
      </w:r>
    </w:p>
    <w:p w14:paraId="2A0C8227" w14:textId="77777777" w:rsidR="006D4A39" w:rsidRPr="00D23BFB" w:rsidRDefault="006D4A39" w:rsidP="006D4A39">
      <w:pPr>
        <w:ind w:left="5040"/>
        <w:jc w:val="both"/>
        <w:rPr>
          <w:rFonts w:ascii="Garamond" w:hAnsi="Garamond"/>
          <w:sz w:val="24"/>
          <w:szCs w:val="24"/>
        </w:rPr>
      </w:pPr>
      <w:r w:rsidRPr="00D23BFB">
        <w:rPr>
          <w:rFonts w:ascii="Garamond" w:hAnsi="Garamond"/>
          <w:sz w:val="24"/>
          <w:szCs w:val="24"/>
        </w:rPr>
        <w:t>Houston, TX 77002</w:t>
      </w:r>
    </w:p>
    <w:p w14:paraId="3CE9E2A4" w14:textId="77777777" w:rsidR="006D4A39" w:rsidRPr="00D23BFB" w:rsidRDefault="006D4A39" w:rsidP="006D4A39">
      <w:pPr>
        <w:ind w:left="5040"/>
        <w:jc w:val="both"/>
        <w:rPr>
          <w:rFonts w:ascii="Garamond" w:hAnsi="Garamond"/>
          <w:sz w:val="24"/>
          <w:szCs w:val="24"/>
        </w:rPr>
      </w:pPr>
      <w:r w:rsidRPr="00D23BFB">
        <w:rPr>
          <w:rFonts w:ascii="Garamond" w:hAnsi="Garamond"/>
          <w:sz w:val="24"/>
          <w:szCs w:val="24"/>
        </w:rPr>
        <w:t>Telephone:  (713) 632-1700</w:t>
      </w:r>
    </w:p>
    <w:p w14:paraId="73A88A90" w14:textId="77777777" w:rsidR="006D4A39" w:rsidRPr="00D23BFB" w:rsidRDefault="006D4A39" w:rsidP="006D4A39">
      <w:pPr>
        <w:ind w:left="5040"/>
        <w:jc w:val="both"/>
        <w:rPr>
          <w:rFonts w:ascii="Garamond" w:hAnsi="Garamond"/>
          <w:sz w:val="24"/>
          <w:szCs w:val="24"/>
        </w:rPr>
      </w:pPr>
      <w:r w:rsidRPr="00D23BFB">
        <w:rPr>
          <w:rFonts w:ascii="Garamond" w:hAnsi="Garamond"/>
          <w:sz w:val="24"/>
          <w:szCs w:val="24"/>
        </w:rPr>
        <w:t>Facsimile:  (713) 222-0101</w:t>
      </w:r>
    </w:p>
    <w:p w14:paraId="4CEA9090" w14:textId="77777777" w:rsidR="00F2432D" w:rsidRPr="00D23BFB" w:rsidRDefault="00F2432D" w:rsidP="006D4A39">
      <w:pPr>
        <w:ind w:left="5040"/>
        <w:jc w:val="both"/>
        <w:rPr>
          <w:rFonts w:ascii="Garamond" w:hAnsi="Garamond"/>
          <w:sz w:val="24"/>
          <w:szCs w:val="24"/>
        </w:rPr>
      </w:pPr>
    </w:p>
    <w:p w14:paraId="23D8A01D" w14:textId="7C47FBBD" w:rsidR="006D4A39" w:rsidRPr="00D23BFB" w:rsidRDefault="006D4A39" w:rsidP="006D4A39">
      <w:pPr>
        <w:ind w:left="4680"/>
        <w:jc w:val="both"/>
        <w:rPr>
          <w:rFonts w:ascii="Garamond" w:hAnsi="Garamond"/>
          <w:b/>
          <w:bCs/>
          <w:sz w:val="24"/>
          <w:szCs w:val="24"/>
        </w:rPr>
      </w:pPr>
      <w:r w:rsidRPr="00D23BFB">
        <w:rPr>
          <w:rFonts w:ascii="Garamond" w:hAnsi="Garamond"/>
          <w:b/>
          <w:bCs/>
          <w:sz w:val="24"/>
          <w:szCs w:val="24"/>
        </w:rPr>
        <w:t xml:space="preserve">Attorneys </w:t>
      </w:r>
      <w:r w:rsidR="00BF4E58">
        <w:rPr>
          <w:rFonts w:ascii="Garamond" w:hAnsi="Garamond"/>
          <w:b/>
          <w:bCs/>
          <w:sz w:val="24"/>
          <w:szCs w:val="24"/>
        </w:rPr>
        <w:t>For Plaintiff</w:t>
      </w:r>
      <w:r w:rsidRPr="00D23BFB">
        <w:rPr>
          <w:rFonts w:ascii="Garamond" w:hAnsi="Garamond"/>
          <w:b/>
          <w:bCs/>
          <w:sz w:val="24"/>
          <w:szCs w:val="24"/>
        </w:rPr>
        <w:t xml:space="preserve"> Richard Allison</w:t>
      </w:r>
    </w:p>
    <w:p w14:paraId="12557C00" w14:textId="77777777" w:rsidR="00F2432D" w:rsidRPr="00D23BFB" w:rsidRDefault="00F2432D" w:rsidP="006D4A39">
      <w:pPr>
        <w:ind w:left="4680"/>
        <w:jc w:val="both"/>
        <w:rPr>
          <w:rFonts w:ascii="Garamond" w:hAnsi="Garamond"/>
          <w:b/>
          <w:bCs/>
          <w:sz w:val="24"/>
          <w:szCs w:val="24"/>
        </w:rPr>
      </w:pPr>
    </w:p>
    <w:p w14:paraId="5D03D1A5" w14:textId="77777777" w:rsidR="00F2432D" w:rsidRPr="00D23BFB" w:rsidRDefault="00F2432D" w:rsidP="006D4A39">
      <w:pPr>
        <w:ind w:left="4680"/>
        <w:jc w:val="both"/>
        <w:rPr>
          <w:rFonts w:ascii="Garamond" w:hAnsi="Garamond"/>
          <w:b/>
          <w:bCs/>
          <w:sz w:val="24"/>
          <w:szCs w:val="24"/>
        </w:rPr>
      </w:pPr>
    </w:p>
    <w:p w14:paraId="3A3CD992" w14:textId="77777777" w:rsidR="00D07DBD" w:rsidRPr="003403A2" w:rsidRDefault="00D07DBD">
      <w:pPr>
        <w:rPr>
          <w:rFonts w:ascii="Garamond" w:hAnsi="Garamond"/>
          <w:sz w:val="24"/>
          <w:szCs w:val="24"/>
        </w:rPr>
      </w:pPr>
    </w:p>
    <w:sectPr w:rsidR="00D07DBD" w:rsidRPr="003403A2" w:rsidSect="006D4A39">
      <w:footerReference w:type="defaul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4E54F" w14:textId="77777777" w:rsidR="00D04E54" w:rsidRDefault="00D04E54" w:rsidP="006D4A39">
      <w:r>
        <w:separator/>
      </w:r>
    </w:p>
  </w:endnote>
  <w:endnote w:type="continuationSeparator" w:id="0">
    <w:p w14:paraId="687D6FAB" w14:textId="77777777" w:rsidR="00D04E54" w:rsidRDefault="00D04E54" w:rsidP="006D4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614339"/>
      <w:docPartObj>
        <w:docPartGallery w:val="Page Numbers (Bottom of Page)"/>
        <w:docPartUnique/>
      </w:docPartObj>
    </w:sdtPr>
    <w:sdtEndPr>
      <w:rPr>
        <w:rFonts w:ascii="Garamond" w:hAnsi="Garamond"/>
        <w:noProof/>
        <w:sz w:val="24"/>
        <w:szCs w:val="24"/>
      </w:rPr>
    </w:sdtEndPr>
    <w:sdtContent>
      <w:p w14:paraId="78D74EBB" w14:textId="55F981CF" w:rsidR="00851607" w:rsidRPr="008D57BF" w:rsidRDefault="00851607" w:rsidP="00F2432D">
        <w:pPr>
          <w:pStyle w:val="Footer"/>
          <w:jc w:val="center"/>
          <w:rPr>
            <w:rFonts w:ascii="Garamond" w:hAnsi="Garamond"/>
          </w:rPr>
        </w:pPr>
        <w:r w:rsidRPr="008D57BF">
          <w:rPr>
            <w:rFonts w:ascii="Garamond" w:hAnsi="Garamond"/>
            <w:sz w:val="24"/>
            <w:szCs w:val="24"/>
          </w:rPr>
          <w:fldChar w:fldCharType="begin"/>
        </w:r>
        <w:r w:rsidRPr="008D57BF">
          <w:rPr>
            <w:rFonts w:ascii="Garamond" w:hAnsi="Garamond"/>
            <w:sz w:val="24"/>
            <w:szCs w:val="24"/>
          </w:rPr>
          <w:instrText xml:space="preserve"> PAGE   \* MERGEFORMAT </w:instrText>
        </w:r>
        <w:r w:rsidRPr="008D57BF">
          <w:rPr>
            <w:rFonts w:ascii="Garamond" w:hAnsi="Garamond"/>
            <w:sz w:val="24"/>
            <w:szCs w:val="24"/>
          </w:rPr>
          <w:fldChar w:fldCharType="separate"/>
        </w:r>
        <w:r w:rsidRPr="008D57BF">
          <w:rPr>
            <w:rFonts w:ascii="Garamond" w:hAnsi="Garamond"/>
            <w:noProof/>
            <w:sz w:val="24"/>
            <w:szCs w:val="24"/>
          </w:rPr>
          <w:t>2</w:t>
        </w:r>
        <w:r w:rsidRPr="008D57BF">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DB7A" w14:textId="55DBA408" w:rsidR="00C21304" w:rsidRPr="00035849" w:rsidRDefault="00C21304" w:rsidP="00F2432D">
    <w:pPr>
      <w:pStyle w:val="Footer"/>
      <w:jc w:val="center"/>
      <w:rPr>
        <w:rFonts w:ascii="Garamond" w:hAnsi="Garamond"/>
        <w:sz w:val="24"/>
        <w:szCs w:val="24"/>
      </w:rPr>
    </w:pPr>
    <w:r w:rsidRPr="00035849">
      <w:rPr>
        <w:rFonts w:ascii="Garamond" w:hAnsi="Garamond"/>
        <w:sz w:val="24"/>
        <w:szCs w:val="24"/>
      </w:rPr>
      <w:fldChar w:fldCharType="begin"/>
    </w:r>
    <w:r w:rsidRPr="00035849">
      <w:rPr>
        <w:rFonts w:ascii="Garamond" w:hAnsi="Garamond"/>
        <w:sz w:val="24"/>
        <w:szCs w:val="24"/>
      </w:rPr>
      <w:instrText xml:space="preserve"> PAGE   \* MERGEFORMAT </w:instrText>
    </w:r>
    <w:r w:rsidRPr="00035849">
      <w:rPr>
        <w:rFonts w:ascii="Garamond" w:hAnsi="Garamond"/>
        <w:sz w:val="24"/>
        <w:szCs w:val="24"/>
      </w:rPr>
      <w:fldChar w:fldCharType="separate"/>
    </w:r>
    <w:r w:rsidRPr="00035849">
      <w:rPr>
        <w:rFonts w:ascii="Garamond" w:hAnsi="Garamond"/>
        <w:noProof/>
        <w:sz w:val="24"/>
        <w:szCs w:val="24"/>
      </w:rPr>
      <w:t>1</w:t>
    </w:r>
    <w:r w:rsidRPr="00035849">
      <w:rPr>
        <w:rFonts w:ascii="Garamond" w:hAnsi="Garamond"/>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6A58A" w14:textId="77777777" w:rsidR="00D04E54" w:rsidRDefault="00D04E54" w:rsidP="006D4A39">
      <w:r>
        <w:separator/>
      </w:r>
    </w:p>
  </w:footnote>
  <w:footnote w:type="continuationSeparator" w:id="0">
    <w:p w14:paraId="2B14A13E" w14:textId="77777777" w:rsidR="00D04E54" w:rsidRDefault="00D04E54" w:rsidP="006D4A39">
      <w:r>
        <w:continuationSeparator/>
      </w:r>
    </w:p>
  </w:footnote>
  <w:footnote w:id="1">
    <w:p w14:paraId="29CC6865" w14:textId="6D58EFD7" w:rsidR="00E11BEA" w:rsidRDefault="00E11BEA" w:rsidP="00C911C0">
      <w:pPr>
        <w:pStyle w:val="FootnoteText"/>
        <w:jc w:val="both"/>
      </w:pPr>
      <w:r>
        <w:rPr>
          <w:rStyle w:val="FootnoteReference"/>
        </w:rPr>
        <w:footnoteRef/>
      </w:r>
      <w:r>
        <w:t xml:space="preserve"> It is believed that this </w:t>
      </w:r>
      <w:r w:rsidRPr="00E11BEA">
        <w:t>entity ceased to exist before the attorney</w:t>
      </w:r>
      <w:r>
        <w:t>-</w:t>
      </w:r>
      <w:r w:rsidRPr="00E11BEA">
        <w:t xml:space="preserve">client relationship with </w:t>
      </w:r>
      <w:r>
        <w:t>Plaintiffs occurred</w:t>
      </w:r>
      <w:r w:rsidR="00C911C0">
        <w:t xml:space="preserve">, and therefore cannot sue or be sued, however Plaintiffs name this entity out of an abundance of caution </w:t>
      </w:r>
      <w:r w:rsidRPr="00E11BEA">
        <w:t xml:space="preserve">because </w:t>
      </w:r>
      <w:r w:rsidR="00C911C0">
        <w:t xml:space="preserve">the underlying </w:t>
      </w:r>
      <w:r w:rsidR="00C3070D">
        <w:t xml:space="preserve">award </w:t>
      </w:r>
      <w:r w:rsidR="00C911C0">
        <w:t>from the arbitrator</w:t>
      </w:r>
      <w:r w:rsidR="00C3070D">
        <w:t>, which she took verbatim from the Defendants propose</w:t>
      </w:r>
      <w:r w:rsidR="0038045D">
        <w:t>d award, provided this non-existent entity with relief and the trial court entered judgment on that award.</w:t>
      </w:r>
    </w:p>
  </w:footnote>
  <w:footnote w:id="2">
    <w:p w14:paraId="11AEF5FD" w14:textId="65E8817E" w:rsidR="00587F71" w:rsidRDefault="00587F71">
      <w:pPr>
        <w:pStyle w:val="FootnoteText"/>
      </w:pPr>
      <w:r>
        <w:rPr>
          <w:rStyle w:val="FootnoteReference"/>
        </w:rPr>
        <w:footnoteRef/>
      </w:r>
      <w:r>
        <w:t xml:space="preserve"> </w:t>
      </w:r>
      <w:r w:rsidRPr="00587F71">
        <w:t>Exhibit 1, at September 30, 2022 letter from Ann Ashby.</w:t>
      </w:r>
    </w:p>
  </w:footnote>
  <w:footnote w:id="3">
    <w:p w14:paraId="35266966" w14:textId="4F1760E2" w:rsidR="0005777D" w:rsidRDefault="0005777D">
      <w:pPr>
        <w:pStyle w:val="FootnoteText"/>
      </w:pPr>
      <w:r>
        <w:rPr>
          <w:rStyle w:val="FootnoteReference"/>
        </w:rPr>
        <w:footnoteRef/>
      </w:r>
      <w:r>
        <w:t xml:space="preserve"> Exhibit 2, Lawyers Answer in Arbitration. </w:t>
      </w:r>
    </w:p>
  </w:footnote>
  <w:footnote w:id="4">
    <w:p w14:paraId="10DDABF5" w14:textId="6F0B78B7" w:rsidR="0022114C" w:rsidRDefault="0022114C">
      <w:pPr>
        <w:pStyle w:val="FootnoteText"/>
      </w:pPr>
      <w:r>
        <w:rPr>
          <w:rStyle w:val="FootnoteReference"/>
        </w:rPr>
        <w:footnoteRef/>
      </w:r>
      <w:r>
        <w:t xml:space="preserve"> Exhibit 2, Lawyers Answer in Arbitration, and at Exhibit F. </w:t>
      </w:r>
    </w:p>
  </w:footnote>
  <w:footnote w:id="5">
    <w:p w14:paraId="5BC8B54E" w14:textId="2E6B3744" w:rsidR="002A6923" w:rsidRDefault="002A6923">
      <w:pPr>
        <w:pStyle w:val="FootnoteText"/>
      </w:pPr>
      <w:r>
        <w:rPr>
          <w:rStyle w:val="FootnoteReference"/>
        </w:rPr>
        <w:footnoteRef/>
      </w:r>
      <w:r>
        <w:t xml:space="preserve"> Exhibit </w:t>
      </w:r>
      <w:r w:rsidR="00D9051D">
        <w:t>3</w:t>
      </w:r>
      <w:r>
        <w:t xml:space="preserve">, Lawyers Witness Disclosures. </w:t>
      </w:r>
    </w:p>
  </w:footnote>
  <w:footnote w:id="6">
    <w:p w14:paraId="540D98E0" w14:textId="7EC2EE50" w:rsidR="00E319E6" w:rsidRDefault="00E319E6">
      <w:pPr>
        <w:pStyle w:val="FootnoteText"/>
      </w:pPr>
      <w:r>
        <w:rPr>
          <w:rStyle w:val="FootnoteReference"/>
        </w:rPr>
        <w:footnoteRef/>
      </w:r>
      <w:r>
        <w:t xml:space="preserve"> Exhibit </w:t>
      </w:r>
      <w:r w:rsidR="00D9051D">
        <w:t>4</w:t>
      </w:r>
      <w:r>
        <w:t xml:space="preserve">, Anne Ashby’s June 15, 2023 Disclosure. </w:t>
      </w:r>
    </w:p>
  </w:footnote>
  <w:footnote w:id="7">
    <w:p w14:paraId="5DC416CF" w14:textId="481D3637" w:rsidR="00095732" w:rsidRDefault="00095732">
      <w:pPr>
        <w:pStyle w:val="FootnoteText"/>
      </w:pPr>
      <w:r>
        <w:rPr>
          <w:rStyle w:val="FootnoteReference"/>
        </w:rPr>
        <w:footnoteRef/>
      </w:r>
      <w:r>
        <w:t xml:space="preserve"> Exhibit </w:t>
      </w:r>
      <w:r w:rsidR="00D9051D">
        <w:t>5</w:t>
      </w:r>
      <w:r>
        <w:t xml:space="preserve">, Anne Ashby’s Resume; Exhibit </w:t>
      </w:r>
      <w:r w:rsidR="00D9051D">
        <w:t>6</w:t>
      </w:r>
      <w:r>
        <w:t xml:space="preserve">, Collins Basinger &amp; Pullman Website. </w:t>
      </w:r>
    </w:p>
  </w:footnote>
  <w:footnote w:id="8">
    <w:p w14:paraId="0CE30F3A" w14:textId="013A4599" w:rsidR="002A5463" w:rsidRDefault="002A5463">
      <w:pPr>
        <w:pStyle w:val="FootnoteText"/>
      </w:pPr>
      <w:r>
        <w:rPr>
          <w:rStyle w:val="FootnoteReference"/>
        </w:rPr>
        <w:footnoteRef/>
      </w:r>
      <w:r>
        <w:t xml:space="preserve"> Exhibit </w:t>
      </w:r>
      <w:r w:rsidR="00CE6BBE">
        <w:t>7</w:t>
      </w:r>
      <w:r>
        <w:t xml:space="preserve">, Collins Law Group Engagement Letter; Exhibit </w:t>
      </w:r>
      <w:r w:rsidR="00CE6BBE">
        <w:t>8</w:t>
      </w:r>
      <w:r>
        <w:t xml:space="preserve">, Collins Law Group Billing Invoices. </w:t>
      </w:r>
    </w:p>
  </w:footnote>
  <w:footnote w:id="9">
    <w:p w14:paraId="4843971E" w14:textId="5F69C2B8" w:rsidR="003709EE" w:rsidRDefault="003709EE">
      <w:pPr>
        <w:pStyle w:val="FootnoteText"/>
      </w:pPr>
      <w:r>
        <w:rPr>
          <w:rStyle w:val="FootnoteReference"/>
        </w:rPr>
        <w:footnoteRef/>
      </w:r>
      <w:r>
        <w:t xml:space="preserve"> Exhibit 2, Lawyers Answer in Arbitration, and at Exhibit F.</w:t>
      </w:r>
    </w:p>
  </w:footnote>
  <w:footnote w:id="10">
    <w:p w14:paraId="06C72FD1" w14:textId="2C3AD975" w:rsidR="002A5463" w:rsidRDefault="002A5463">
      <w:pPr>
        <w:pStyle w:val="FootnoteText"/>
      </w:pPr>
      <w:r>
        <w:rPr>
          <w:rStyle w:val="FootnoteReference"/>
        </w:rPr>
        <w:footnoteRef/>
      </w:r>
      <w:r>
        <w:t xml:space="preserve"> Exhibit </w:t>
      </w:r>
      <w:r w:rsidR="00344423">
        <w:t>9</w:t>
      </w:r>
      <w:r>
        <w:t xml:space="preserve">, Secretary of State Filings for </w:t>
      </w:r>
      <w:r w:rsidR="00C6488B">
        <w:t xml:space="preserve">Law Office of Anne Ashby, PLLC. </w:t>
      </w:r>
    </w:p>
  </w:footnote>
  <w:footnote w:id="11">
    <w:p w14:paraId="56EFE5D6" w14:textId="5456A0D6" w:rsidR="0063029E" w:rsidRDefault="0063029E">
      <w:pPr>
        <w:pStyle w:val="FootnoteText"/>
      </w:pPr>
      <w:r>
        <w:rPr>
          <w:rStyle w:val="FootnoteReference"/>
        </w:rPr>
        <w:footnoteRef/>
      </w:r>
      <w:r>
        <w:t xml:space="preserve"> </w:t>
      </w:r>
      <w:hyperlink r:id="rId1" w:history="1">
        <w:r w:rsidRPr="00084029">
          <w:rPr>
            <w:rStyle w:val="Hyperlink"/>
          </w:rPr>
          <w:t>https://www.adr.org/news-and-insights/the-what-why-and-how-of-arbitrator-disclosures/</w:t>
        </w:r>
      </w:hyperlink>
      <w:r>
        <w:t xml:space="preserve"> </w:t>
      </w:r>
    </w:p>
  </w:footnote>
  <w:footnote w:id="12">
    <w:p w14:paraId="1F418AB4" w14:textId="65FCA5E3" w:rsidR="00574274" w:rsidRDefault="00574274">
      <w:pPr>
        <w:pStyle w:val="FootnoteText"/>
      </w:pPr>
      <w:r>
        <w:rPr>
          <w:rStyle w:val="FootnoteReference"/>
        </w:rPr>
        <w:footnoteRef/>
      </w:r>
      <w:r>
        <w:t xml:space="preserve"> </w:t>
      </w:r>
      <w:hyperlink r:id="rId2" w:history="1">
        <w:r w:rsidR="007C4D1E" w:rsidRPr="00084029">
          <w:rPr>
            <w:rStyle w:val="Hyperlink"/>
          </w:rPr>
          <w:t>https://www.adr.org/news-and-insights/the-what-why-and-how-of-arbitrator-disclosures/</w:t>
        </w:r>
      </w:hyperlink>
    </w:p>
  </w:footnote>
  <w:footnote w:id="13">
    <w:p w14:paraId="29ABE48E" w14:textId="0EADEE84" w:rsidR="007C4D1E" w:rsidRDefault="007C4D1E">
      <w:pPr>
        <w:pStyle w:val="FootnoteText"/>
      </w:pPr>
      <w:r>
        <w:rPr>
          <w:rStyle w:val="FootnoteReference"/>
        </w:rPr>
        <w:footnoteRef/>
      </w:r>
      <w:r>
        <w:t xml:space="preserve"> </w:t>
      </w:r>
      <w:hyperlink r:id="rId3" w:history="1">
        <w:r w:rsidRPr="00084029">
          <w:rPr>
            <w:rStyle w:val="Hyperlink"/>
          </w:rPr>
          <w:t>https://www.adr.org/news-and-insights/the-what-why-and-how-of-arbitrator-disclosures/</w:t>
        </w:r>
      </w:hyperlink>
    </w:p>
  </w:footnote>
  <w:footnote w:id="14">
    <w:p w14:paraId="27ADCAA0" w14:textId="25F6AC3D" w:rsidR="00F72BE5" w:rsidRDefault="0060466A" w:rsidP="00946A12">
      <w:pPr>
        <w:pStyle w:val="FootnoteText"/>
        <w:spacing w:line="276" w:lineRule="auto"/>
        <w:jc w:val="both"/>
      </w:pPr>
      <w:r>
        <w:rPr>
          <w:rStyle w:val="FootnoteReference"/>
        </w:rPr>
        <w:footnoteRef/>
      </w:r>
      <w:r>
        <w:t xml:space="preserve"> </w:t>
      </w:r>
      <w:r w:rsidR="00F72BE5" w:rsidRPr="00F72BE5">
        <w:rPr>
          <w:i/>
          <w:iCs/>
        </w:rPr>
        <w:t>See</w:t>
      </w:r>
      <w:r w:rsidRPr="00F72BE5">
        <w:rPr>
          <w:i/>
          <w:iCs/>
        </w:rPr>
        <w:t xml:space="preserve"> </w:t>
      </w:r>
      <w:r w:rsidR="007E54A1">
        <w:t xml:space="preserve">Exhibit </w:t>
      </w:r>
      <w:r w:rsidR="00344423">
        <w:t>10</w:t>
      </w:r>
      <w:r w:rsidR="007E54A1">
        <w:t xml:space="preserve">, </w:t>
      </w:r>
      <w:r>
        <w:t>Arbitration Transcript, p</w:t>
      </w:r>
      <w:r w:rsidR="0076534F">
        <w:t>p</w:t>
      </w:r>
      <w:r>
        <w:t>. 16</w:t>
      </w:r>
      <w:r w:rsidR="00C17596">
        <w:t>, 69, 76, 90, 95, 96, 100, 108, 109, 117, 136, 174, 195, 199, 208</w:t>
      </w:r>
      <w:r w:rsidR="000A222D">
        <w:t>, 209, 211, 213, 215, 216, 222, 224, 226, 235, 238, 285, 289,-293, 377-38</w:t>
      </w:r>
      <w:r w:rsidR="007B4BB7">
        <w:t xml:space="preserve">5, 404-409, 436, 461, 466, 474, 519-522, 552, </w:t>
      </w:r>
      <w:r w:rsidR="000C73C4">
        <w:t xml:space="preserve">554-555, 560, 606, 620, 621, 626, 637, 650, 717-722, </w:t>
      </w:r>
      <w:r w:rsidR="00AA262A">
        <w:t xml:space="preserve">758-760, 767-768, 775-776, 780, 783, 785, 788, 804-805, 812, 827-833, </w:t>
      </w:r>
      <w:r w:rsidR="00AE72DC">
        <w:t>860, 865, 890-895, 910, 919-920, 923, 1107, 1118, 1128-1131, 1136-1139, 1122</w:t>
      </w:r>
      <w:r w:rsidR="00AA01E2">
        <w:t xml:space="preserve">-1124, 1277-1279, 128, 1304, 1310, 1319, 1325, 1349, 1397-1398, 1401, 1482-1483, </w:t>
      </w:r>
      <w:r w:rsidR="0076534F">
        <w:t>1539-1540, 1580, 1603</w:t>
      </w:r>
      <w:r>
        <w:t>.</w:t>
      </w:r>
    </w:p>
  </w:footnote>
  <w:footnote w:id="15">
    <w:p w14:paraId="0531016A" w14:textId="1AFADD13" w:rsidR="005C06D5" w:rsidRDefault="005C06D5">
      <w:pPr>
        <w:pStyle w:val="FootnoteText"/>
      </w:pPr>
      <w:r>
        <w:rPr>
          <w:rStyle w:val="FootnoteReference"/>
        </w:rPr>
        <w:footnoteRef/>
      </w:r>
      <w:r>
        <w:t xml:space="preserve"> Exhibit 11, Final Judgment. </w:t>
      </w:r>
    </w:p>
  </w:footnote>
  <w:footnote w:id="16">
    <w:p w14:paraId="31CA9CA6" w14:textId="38DA5732" w:rsidR="0097261F" w:rsidRDefault="0097261F" w:rsidP="0097261F">
      <w:pPr>
        <w:pStyle w:val="FootnoteText"/>
      </w:pPr>
      <w:r>
        <w:rPr>
          <w:rStyle w:val="FootnoteReference"/>
        </w:rPr>
        <w:footnoteRef/>
      </w:r>
      <w:r>
        <w:t xml:space="preserve"> Exhibit 1</w:t>
      </w:r>
      <w:r w:rsidR="00A1452F">
        <w:t>2</w:t>
      </w:r>
      <w:r>
        <w:t xml:space="preserve">, Dolcefino Consulting Report. </w:t>
      </w:r>
    </w:p>
  </w:footnote>
  <w:footnote w:id="17">
    <w:p w14:paraId="589803E8" w14:textId="211425B6" w:rsidR="0097261F" w:rsidRDefault="0097261F" w:rsidP="002079CE">
      <w:pPr>
        <w:pStyle w:val="FootnoteText"/>
        <w:jc w:val="both"/>
      </w:pPr>
      <w:r>
        <w:rPr>
          <w:rStyle w:val="FootnoteReference"/>
        </w:rPr>
        <w:footnoteRef/>
      </w:r>
      <w:r>
        <w:t xml:space="preserve"> </w:t>
      </w:r>
      <w:r w:rsidR="002079CE" w:rsidRPr="002079CE">
        <w:rPr>
          <w:i/>
          <w:iCs/>
        </w:rPr>
        <w:t>See</w:t>
      </w:r>
      <w:r w:rsidR="002079CE" w:rsidRPr="002079CE">
        <w:t xml:space="preserve"> Dolcefino Video Investigates #1:  Damn Lawyers - Allison Family Probate Case</w:t>
      </w:r>
      <w:r w:rsidR="002079CE">
        <w:t xml:space="preserve">, available here </w:t>
      </w:r>
      <w:hyperlink r:id="rId4" w:history="1">
        <w:r w:rsidR="002079CE" w:rsidRPr="002079CE">
          <w:rPr>
            <w:rStyle w:val="Hyperlink"/>
          </w:rPr>
          <w:t>https://www.youtube.com/watch?v=j5aWUy6oJT0</w:t>
        </w:r>
      </w:hyperlink>
      <w:r w:rsidR="002079CE">
        <w:t xml:space="preserve"> and </w:t>
      </w:r>
      <w:r w:rsidR="002079CE" w:rsidRPr="002079CE">
        <w:t>Dolcefino Video Investigates #2:  Damn Lawyers – Rigged Arbitration – the Stench of Cronyism</w:t>
      </w:r>
      <w:r w:rsidR="002079CE">
        <w:t xml:space="preserve">, available here </w:t>
      </w:r>
      <w:hyperlink r:id="rId5" w:history="1">
        <w:r w:rsidR="002079CE" w:rsidRPr="002079CE">
          <w:rPr>
            <w:rStyle w:val="Hyperlink"/>
          </w:rPr>
          <w:t>https://youtu.be/lgHSGHJc7xE?si=ol_w95WdbGQUAmUd</w:t>
        </w:r>
      </w:hyperlink>
      <w:r w:rsidR="002079CE">
        <w:t xml:space="preserve">. </w:t>
      </w:r>
    </w:p>
  </w:footnote>
  <w:footnote w:id="18">
    <w:p w14:paraId="2F4F62F9" w14:textId="353B7E43" w:rsidR="00310311" w:rsidRDefault="00310311">
      <w:pPr>
        <w:pStyle w:val="FootnoteText"/>
      </w:pPr>
      <w:r>
        <w:rPr>
          <w:rStyle w:val="FootnoteReference"/>
        </w:rPr>
        <w:footnoteRef/>
      </w:r>
      <w:r>
        <w:t xml:space="preserve"> </w:t>
      </w:r>
      <w:r w:rsidRPr="00310311">
        <w:rPr>
          <w:i/>
          <w:iCs/>
        </w:rPr>
        <w:t>See</w:t>
      </w:r>
      <w:r>
        <w:t xml:space="preserve"> Exhibit 1</w:t>
      </w:r>
      <w:r w:rsidR="00A1452F">
        <w:t>3</w:t>
      </w:r>
      <w:r>
        <w:t xml:space="preserve"> for a chart identifying the conflict and relationship web. </w:t>
      </w:r>
    </w:p>
  </w:footnote>
  <w:footnote w:id="19">
    <w:p w14:paraId="692FEDA4" w14:textId="0A6E8C0E" w:rsidR="009616CB" w:rsidRDefault="009616CB">
      <w:pPr>
        <w:pStyle w:val="FootnoteText"/>
      </w:pPr>
      <w:r>
        <w:rPr>
          <w:rStyle w:val="FootnoteReference"/>
        </w:rPr>
        <w:footnoteRef/>
      </w:r>
      <w:r>
        <w:t xml:space="preserve"> Exhibit 1</w:t>
      </w:r>
      <w:r w:rsidR="00C03514">
        <w:t>4</w:t>
      </w:r>
      <w:r>
        <w:t>, Lillian Hardwick Original Report; Exhibit 1</w:t>
      </w:r>
      <w:r w:rsidR="00C03514">
        <w:t>5</w:t>
      </w:r>
      <w:r>
        <w:t xml:space="preserve">, Lillian Hardwick Supplemental Report. </w:t>
      </w:r>
    </w:p>
  </w:footnote>
  <w:footnote w:id="20">
    <w:p w14:paraId="41925E2F" w14:textId="61A248A0" w:rsidR="009616CB" w:rsidRDefault="009616CB">
      <w:pPr>
        <w:pStyle w:val="FootnoteText"/>
      </w:pPr>
      <w:r>
        <w:rPr>
          <w:rStyle w:val="FootnoteReference"/>
        </w:rPr>
        <w:footnoteRef/>
      </w:r>
      <w:r>
        <w:t xml:space="preserve"> Exhibit 1</w:t>
      </w:r>
      <w:r w:rsidR="00C03514">
        <w:t>6</w:t>
      </w:r>
      <w:r>
        <w:t xml:space="preserve">, Kevin Spencer Report. </w:t>
      </w:r>
    </w:p>
  </w:footnote>
  <w:footnote w:id="21">
    <w:p w14:paraId="25240B86" w14:textId="1F237CA5" w:rsidR="002340BC" w:rsidRDefault="002340BC">
      <w:pPr>
        <w:pStyle w:val="FootnoteText"/>
      </w:pPr>
      <w:r>
        <w:rPr>
          <w:rStyle w:val="FootnoteReference"/>
        </w:rPr>
        <w:footnoteRef/>
      </w:r>
      <w:r>
        <w:t xml:space="preserve"> Exhibit 1</w:t>
      </w:r>
      <w:r w:rsidR="00C03514">
        <w:t>7</w:t>
      </w:r>
      <w:r>
        <w:t xml:space="preserve">, Sarah Pacheco Report.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F017B"/>
    <w:multiLevelType w:val="hybridMultilevel"/>
    <w:tmpl w:val="CD26E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BF04C3"/>
    <w:multiLevelType w:val="hybridMultilevel"/>
    <w:tmpl w:val="C45688A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710AAE"/>
    <w:multiLevelType w:val="hybridMultilevel"/>
    <w:tmpl w:val="FC4A2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CB6ED1"/>
    <w:multiLevelType w:val="hybridMultilevel"/>
    <w:tmpl w:val="4566E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0194094">
    <w:abstractNumId w:val="1"/>
  </w:num>
  <w:num w:numId="2" w16cid:durableId="1228954358">
    <w:abstractNumId w:val="0"/>
  </w:num>
  <w:num w:numId="3" w16cid:durableId="1924995875">
    <w:abstractNumId w:val="2"/>
  </w:num>
  <w:num w:numId="4" w16cid:durableId="19591450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A39"/>
    <w:rsid w:val="0000497C"/>
    <w:rsid w:val="00014DDF"/>
    <w:rsid w:val="0002026C"/>
    <w:rsid w:val="00024677"/>
    <w:rsid w:val="00030CA2"/>
    <w:rsid w:val="0003561D"/>
    <w:rsid w:val="00035849"/>
    <w:rsid w:val="00042485"/>
    <w:rsid w:val="00050D1C"/>
    <w:rsid w:val="0005777D"/>
    <w:rsid w:val="0006253D"/>
    <w:rsid w:val="00063CE9"/>
    <w:rsid w:val="00065EC4"/>
    <w:rsid w:val="000707B8"/>
    <w:rsid w:val="00073BA6"/>
    <w:rsid w:val="00076A28"/>
    <w:rsid w:val="00081304"/>
    <w:rsid w:val="0008187A"/>
    <w:rsid w:val="000828DB"/>
    <w:rsid w:val="00083A89"/>
    <w:rsid w:val="000867BA"/>
    <w:rsid w:val="00094060"/>
    <w:rsid w:val="000946F9"/>
    <w:rsid w:val="00095732"/>
    <w:rsid w:val="000A222D"/>
    <w:rsid w:val="000A6302"/>
    <w:rsid w:val="000B10A6"/>
    <w:rsid w:val="000B3450"/>
    <w:rsid w:val="000C2BD0"/>
    <w:rsid w:val="000C61E3"/>
    <w:rsid w:val="000C73C4"/>
    <w:rsid w:val="000D3625"/>
    <w:rsid w:val="000E57BB"/>
    <w:rsid w:val="000F4EFD"/>
    <w:rsid w:val="00106247"/>
    <w:rsid w:val="00106CDF"/>
    <w:rsid w:val="00140BD5"/>
    <w:rsid w:val="00146269"/>
    <w:rsid w:val="001512CD"/>
    <w:rsid w:val="00152930"/>
    <w:rsid w:val="001538D8"/>
    <w:rsid w:val="00164895"/>
    <w:rsid w:val="001655D8"/>
    <w:rsid w:val="001676F2"/>
    <w:rsid w:val="001813F3"/>
    <w:rsid w:val="00184091"/>
    <w:rsid w:val="00190A31"/>
    <w:rsid w:val="00192BCB"/>
    <w:rsid w:val="0019470A"/>
    <w:rsid w:val="001A713D"/>
    <w:rsid w:val="001A7381"/>
    <w:rsid w:val="001C0767"/>
    <w:rsid w:val="001D65D6"/>
    <w:rsid w:val="001E5EEE"/>
    <w:rsid w:val="001E7BF5"/>
    <w:rsid w:val="001F242F"/>
    <w:rsid w:val="001F31D1"/>
    <w:rsid w:val="002027D2"/>
    <w:rsid w:val="002079CE"/>
    <w:rsid w:val="00214349"/>
    <w:rsid w:val="0022114C"/>
    <w:rsid w:val="00224A07"/>
    <w:rsid w:val="00231604"/>
    <w:rsid w:val="002340BC"/>
    <w:rsid w:val="00235164"/>
    <w:rsid w:val="00243073"/>
    <w:rsid w:val="00246FB0"/>
    <w:rsid w:val="00255A2E"/>
    <w:rsid w:val="002579B5"/>
    <w:rsid w:val="00262981"/>
    <w:rsid w:val="00262F86"/>
    <w:rsid w:val="00267AD1"/>
    <w:rsid w:val="00284924"/>
    <w:rsid w:val="00290CFA"/>
    <w:rsid w:val="00294E01"/>
    <w:rsid w:val="00295E7A"/>
    <w:rsid w:val="00296E12"/>
    <w:rsid w:val="002A5463"/>
    <w:rsid w:val="002A6923"/>
    <w:rsid w:val="002B002C"/>
    <w:rsid w:val="002B093C"/>
    <w:rsid w:val="002C2324"/>
    <w:rsid w:val="002C6C86"/>
    <w:rsid w:val="002E2727"/>
    <w:rsid w:val="002E6A18"/>
    <w:rsid w:val="002E6C29"/>
    <w:rsid w:val="002E7D95"/>
    <w:rsid w:val="00310311"/>
    <w:rsid w:val="0032126A"/>
    <w:rsid w:val="00321280"/>
    <w:rsid w:val="00324232"/>
    <w:rsid w:val="00324FD5"/>
    <w:rsid w:val="00333B4B"/>
    <w:rsid w:val="00334F8D"/>
    <w:rsid w:val="003403A2"/>
    <w:rsid w:val="00344423"/>
    <w:rsid w:val="003560BF"/>
    <w:rsid w:val="003565F0"/>
    <w:rsid w:val="00361993"/>
    <w:rsid w:val="00362FA4"/>
    <w:rsid w:val="00365FE9"/>
    <w:rsid w:val="003709EE"/>
    <w:rsid w:val="00370BA0"/>
    <w:rsid w:val="0038045D"/>
    <w:rsid w:val="00385E2E"/>
    <w:rsid w:val="003A374D"/>
    <w:rsid w:val="003A7D3C"/>
    <w:rsid w:val="003B066A"/>
    <w:rsid w:val="003B2DF7"/>
    <w:rsid w:val="003B7DA4"/>
    <w:rsid w:val="003D78B6"/>
    <w:rsid w:val="003E000F"/>
    <w:rsid w:val="003E15BD"/>
    <w:rsid w:val="003E40EA"/>
    <w:rsid w:val="00410A78"/>
    <w:rsid w:val="004178DC"/>
    <w:rsid w:val="00422EF8"/>
    <w:rsid w:val="004320E7"/>
    <w:rsid w:val="0043473B"/>
    <w:rsid w:val="004439C6"/>
    <w:rsid w:val="00450EE6"/>
    <w:rsid w:val="00455DE5"/>
    <w:rsid w:val="00463E6B"/>
    <w:rsid w:val="00467896"/>
    <w:rsid w:val="004743C6"/>
    <w:rsid w:val="004805ED"/>
    <w:rsid w:val="00483330"/>
    <w:rsid w:val="00484332"/>
    <w:rsid w:val="004A7EB7"/>
    <w:rsid w:val="004B3BF4"/>
    <w:rsid w:val="004B6D11"/>
    <w:rsid w:val="004C3BEE"/>
    <w:rsid w:val="004E2A36"/>
    <w:rsid w:val="004E35F9"/>
    <w:rsid w:val="004E3C76"/>
    <w:rsid w:val="004E3DE4"/>
    <w:rsid w:val="004E3E3E"/>
    <w:rsid w:val="004E5C65"/>
    <w:rsid w:val="004F1E04"/>
    <w:rsid w:val="005000BE"/>
    <w:rsid w:val="00506BB5"/>
    <w:rsid w:val="005107DB"/>
    <w:rsid w:val="00534AA7"/>
    <w:rsid w:val="00544BD1"/>
    <w:rsid w:val="00551218"/>
    <w:rsid w:val="0055157E"/>
    <w:rsid w:val="00560C99"/>
    <w:rsid w:val="00574274"/>
    <w:rsid w:val="0058232E"/>
    <w:rsid w:val="00587F71"/>
    <w:rsid w:val="005A0E37"/>
    <w:rsid w:val="005A19E8"/>
    <w:rsid w:val="005A5AFF"/>
    <w:rsid w:val="005A6ADA"/>
    <w:rsid w:val="005A6D6D"/>
    <w:rsid w:val="005A7CE1"/>
    <w:rsid w:val="005B24E5"/>
    <w:rsid w:val="005B3056"/>
    <w:rsid w:val="005B4B3A"/>
    <w:rsid w:val="005B595E"/>
    <w:rsid w:val="005C06D5"/>
    <w:rsid w:val="005D41C0"/>
    <w:rsid w:val="005E7981"/>
    <w:rsid w:val="005E7E96"/>
    <w:rsid w:val="005F1F26"/>
    <w:rsid w:val="00603B4B"/>
    <w:rsid w:val="0060466A"/>
    <w:rsid w:val="00610275"/>
    <w:rsid w:val="0063029E"/>
    <w:rsid w:val="0064368E"/>
    <w:rsid w:val="00643DA1"/>
    <w:rsid w:val="00647DD9"/>
    <w:rsid w:val="006565C2"/>
    <w:rsid w:val="006614A5"/>
    <w:rsid w:val="00683F29"/>
    <w:rsid w:val="006A2A21"/>
    <w:rsid w:val="006B5306"/>
    <w:rsid w:val="006B76EE"/>
    <w:rsid w:val="006C35D2"/>
    <w:rsid w:val="006C609C"/>
    <w:rsid w:val="006D4A39"/>
    <w:rsid w:val="006D7449"/>
    <w:rsid w:val="006E050F"/>
    <w:rsid w:val="006E30E6"/>
    <w:rsid w:val="006E7BED"/>
    <w:rsid w:val="006F0033"/>
    <w:rsid w:val="006F48B9"/>
    <w:rsid w:val="00702D8E"/>
    <w:rsid w:val="00712F15"/>
    <w:rsid w:val="00714697"/>
    <w:rsid w:val="00721964"/>
    <w:rsid w:val="00733AB1"/>
    <w:rsid w:val="00735F16"/>
    <w:rsid w:val="00741127"/>
    <w:rsid w:val="00757C5C"/>
    <w:rsid w:val="0076534F"/>
    <w:rsid w:val="00773E5A"/>
    <w:rsid w:val="00777038"/>
    <w:rsid w:val="007870EB"/>
    <w:rsid w:val="00794D33"/>
    <w:rsid w:val="007B4BB7"/>
    <w:rsid w:val="007C0C7E"/>
    <w:rsid w:val="007C3556"/>
    <w:rsid w:val="007C4D1E"/>
    <w:rsid w:val="007C66ED"/>
    <w:rsid w:val="007D0F6D"/>
    <w:rsid w:val="007D2EBC"/>
    <w:rsid w:val="007D5A3F"/>
    <w:rsid w:val="007E54A1"/>
    <w:rsid w:val="007F3E69"/>
    <w:rsid w:val="00803A40"/>
    <w:rsid w:val="00805A61"/>
    <w:rsid w:val="00807DD2"/>
    <w:rsid w:val="0081309C"/>
    <w:rsid w:val="00814137"/>
    <w:rsid w:val="00814543"/>
    <w:rsid w:val="00814C19"/>
    <w:rsid w:val="00820281"/>
    <w:rsid w:val="00822078"/>
    <w:rsid w:val="0082601F"/>
    <w:rsid w:val="008418E1"/>
    <w:rsid w:val="00843967"/>
    <w:rsid w:val="00850751"/>
    <w:rsid w:val="00851607"/>
    <w:rsid w:val="00854234"/>
    <w:rsid w:val="00862DB2"/>
    <w:rsid w:val="0086378C"/>
    <w:rsid w:val="00867EE2"/>
    <w:rsid w:val="00876BB2"/>
    <w:rsid w:val="00880C8D"/>
    <w:rsid w:val="00881AFA"/>
    <w:rsid w:val="008963F7"/>
    <w:rsid w:val="008B3038"/>
    <w:rsid w:val="008B491A"/>
    <w:rsid w:val="008B7EB5"/>
    <w:rsid w:val="008C56EE"/>
    <w:rsid w:val="008D3248"/>
    <w:rsid w:val="008D57BF"/>
    <w:rsid w:val="008E4F0E"/>
    <w:rsid w:val="008E66BA"/>
    <w:rsid w:val="008F1E19"/>
    <w:rsid w:val="00907927"/>
    <w:rsid w:val="00907CD2"/>
    <w:rsid w:val="00914C73"/>
    <w:rsid w:val="00915423"/>
    <w:rsid w:val="0092447F"/>
    <w:rsid w:val="00931C76"/>
    <w:rsid w:val="00946A12"/>
    <w:rsid w:val="00946F6B"/>
    <w:rsid w:val="00951D9D"/>
    <w:rsid w:val="0095400A"/>
    <w:rsid w:val="009616CB"/>
    <w:rsid w:val="00970BBE"/>
    <w:rsid w:val="0097261F"/>
    <w:rsid w:val="00975AA7"/>
    <w:rsid w:val="0099338E"/>
    <w:rsid w:val="009A3A3D"/>
    <w:rsid w:val="009B0015"/>
    <w:rsid w:val="009B6F83"/>
    <w:rsid w:val="009C2266"/>
    <w:rsid w:val="009E6567"/>
    <w:rsid w:val="009F74A2"/>
    <w:rsid w:val="00A13610"/>
    <w:rsid w:val="00A1452F"/>
    <w:rsid w:val="00A16812"/>
    <w:rsid w:val="00A2082A"/>
    <w:rsid w:val="00A32B57"/>
    <w:rsid w:val="00A348CE"/>
    <w:rsid w:val="00A3548F"/>
    <w:rsid w:val="00A42146"/>
    <w:rsid w:val="00A43340"/>
    <w:rsid w:val="00A45ED4"/>
    <w:rsid w:val="00A460C2"/>
    <w:rsid w:val="00A52D4B"/>
    <w:rsid w:val="00A564A7"/>
    <w:rsid w:val="00A636C1"/>
    <w:rsid w:val="00A93EC6"/>
    <w:rsid w:val="00A978D4"/>
    <w:rsid w:val="00AA01E2"/>
    <w:rsid w:val="00AA262A"/>
    <w:rsid w:val="00AC308D"/>
    <w:rsid w:val="00AC51C6"/>
    <w:rsid w:val="00AC6CCF"/>
    <w:rsid w:val="00AD0EAC"/>
    <w:rsid w:val="00AD18B7"/>
    <w:rsid w:val="00AD36D0"/>
    <w:rsid w:val="00AD4B6A"/>
    <w:rsid w:val="00AD4EA6"/>
    <w:rsid w:val="00AE11C4"/>
    <w:rsid w:val="00AE1754"/>
    <w:rsid w:val="00AE72DC"/>
    <w:rsid w:val="00AF48C0"/>
    <w:rsid w:val="00AF70BD"/>
    <w:rsid w:val="00B01943"/>
    <w:rsid w:val="00B0506F"/>
    <w:rsid w:val="00B0737A"/>
    <w:rsid w:val="00B1392E"/>
    <w:rsid w:val="00B21410"/>
    <w:rsid w:val="00B231E3"/>
    <w:rsid w:val="00B37C28"/>
    <w:rsid w:val="00B4100B"/>
    <w:rsid w:val="00B43DE2"/>
    <w:rsid w:val="00B454A4"/>
    <w:rsid w:val="00B53626"/>
    <w:rsid w:val="00B54554"/>
    <w:rsid w:val="00B719AB"/>
    <w:rsid w:val="00B73998"/>
    <w:rsid w:val="00B95108"/>
    <w:rsid w:val="00BA250F"/>
    <w:rsid w:val="00BB208F"/>
    <w:rsid w:val="00BF0111"/>
    <w:rsid w:val="00BF3032"/>
    <w:rsid w:val="00BF4E58"/>
    <w:rsid w:val="00C03514"/>
    <w:rsid w:val="00C07DA0"/>
    <w:rsid w:val="00C13A22"/>
    <w:rsid w:val="00C13BFA"/>
    <w:rsid w:val="00C162F1"/>
    <w:rsid w:val="00C16EAB"/>
    <w:rsid w:val="00C17596"/>
    <w:rsid w:val="00C210EA"/>
    <w:rsid w:val="00C21304"/>
    <w:rsid w:val="00C3070D"/>
    <w:rsid w:val="00C31A52"/>
    <w:rsid w:val="00C34892"/>
    <w:rsid w:val="00C573CF"/>
    <w:rsid w:val="00C61542"/>
    <w:rsid w:val="00C6488B"/>
    <w:rsid w:val="00C748B7"/>
    <w:rsid w:val="00C75745"/>
    <w:rsid w:val="00C80085"/>
    <w:rsid w:val="00C85D4C"/>
    <w:rsid w:val="00C87A61"/>
    <w:rsid w:val="00C9113F"/>
    <w:rsid w:val="00C911C0"/>
    <w:rsid w:val="00C96B06"/>
    <w:rsid w:val="00C97596"/>
    <w:rsid w:val="00CA6802"/>
    <w:rsid w:val="00CE24B9"/>
    <w:rsid w:val="00CE42E6"/>
    <w:rsid w:val="00CE5382"/>
    <w:rsid w:val="00CE6BBE"/>
    <w:rsid w:val="00D04E54"/>
    <w:rsid w:val="00D0555A"/>
    <w:rsid w:val="00D05B1B"/>
    <w:rsid w:val="00D07DBD"/>
    <w:rsid w:val="00D10A4F"/>
    <w:rsid w:val="00D10E04"/>
    <w:rsid w:val="00D11CEF"/>
    <w:rsid w:val="00D132D0"/>
    <w:rsid w:val="00D15A0C"/>
    <w:rsid w:val="00D23249"/>
    <w:rsid w:val="00D23BFB"/>
    <w:rsid w:val="00D51EDA"/>
    <w:rsid w:val="00D63D19"/>
    <w:rsid w:val="00D64588"/>
    <w:rsid w:val="00D6486B"/>
    <w:rsid w:val="00D671B5"/>
    <w:rsid w:val="00D8307A"/>
    <w:rsid w:val="00D835A4"/>
    <w:rsid w:val="00D9051D"/>
    <w:rsid w:val="00DA67B6"/>
    <w:rsid w:val="00DB13AE"/>
    <w:rsid w:val="00DB6729"/>
    <w:rsid w:val="00DC73E1"/>
    <w:rsid w:val="00DE1A3B"/>
    <w:rsid w:val="00DE53CD"/>
    <w:rsid w:val="00DE554B"/>
    <w:rsid w:val="00DF66D1"/>
    <w:rsid w:val="00E11BEA"/>
    <w:rsid w:val="00E20DAC"/>
    <w:rsid w:val="00E319E6"/>
    <w:rsid w:val="00E33D41"/>
    <w:rsid w:val="00E341FC"/>
    <w:rsid w:val="00E42F25"/>
    <w:rsid w:val="00E450A1"/>
    <w:rsid w:val="00E4720B"/>
    <w:rsid w:val="00E475BE"/>
    <w:rsid w:val="00E554DF"/>
    <w:rsid w:val="00E5579E"/>
    <w:rsid w:val="00E5581B"/>
    <w:rsid w:val="00E56476"/>
    <w:rsid w:val="00E63D35"/>
    <w:rsid w:val="00E65C63"/>
    <w:rsid w:val="00E67EDD"/>
    <w:rsid w:val="00E70EB8"/>
    <w:rsid w:val="00E84276"/>
    <w:rsid w:val="00E86E32"/>
    <w:rsid w:val="00EB00BB"/>
    <w:rsid w:val="00EB2A67"/>
    <w:rsid w:val="00EC008B"/>
    <w:rsid w:val="00EC72B5"/>
    <w:rsid w:val="00ED0D78"/>
    <w:rsid w:val="00EF545C"/>
    <w:rsid w:val="00F06932"/>
    <w:rsid w:val="00F2432D"/>
    <w:rsid w:val="00F26668"/>
    <w:rsid w:val="00F666D9"/>
    <w:rsid w:val="00F72BE5"/>
    <w:rsid w:val="00F746A2"/>
    <w:rsid w:val="00F810FB"/>
    <w:rsid w:val="00F86EB7"/>
    <w:rsid w:val="00F901C9"/>
    <w:rsid w:val="00F93DA5"/>
    <w:rsid w:val="00F97D43"/>
    <w:rsid w:val="00FA4DA4"/>
    <w:rsid w:val="00FB074B"/>
    <w:rsid w:val="00FC5890"/>
    <w:rsid w:val="00FD7F1E"/>
    <w:rsid w:val="00FE0EAA"/>
    <w:rsid w:val="00FE1D11"/>
    <w:rsid w:val="00FE2948"/>
    <w:rsid w:val="00FE4518"/>
    <w:rsid w:val="00FF18EF"/>
    <w:rsid w:val="00FF1CDF"/>
    <w:rsid w:val="00FF6E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F0B6E"/>
  <w15:chartTrackingRefBased/>
  <w15:docId w15:val="{B78A4232-8C5A-4037-BE26-45214E830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DA4"/>
    <w:pPr>
      <w:jc w:val="left"/>
    </w:pPr>
    <w:rPr>
      <w:rFonts w:eastAsia="Times New Roman" w:cs="Times New Roman"/>
      <w:kern w:val="0"/>
      <w:sz w:val="20"/>
      <w:szCs w:val="20"/>
    </w:rPr>
  </w:style>
  <w:style w:type="paragraph" w:styleId="Heading1">
    <w:name w:val="heading 1"/>
    <w:basedOn w:val="Normal"/>
    <w:next w:val="Normal"/>
    <w:link w:val="Heading1Char"/>
    <w:uiPriority w:val="9"/>
    <w:qFormat/>
    <w:rsid w:val="006D4A3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D4A3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D4A39"/>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D4A39"/>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4A39"/>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D4A3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D4A3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D4A3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D4A3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A3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D4A3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D4A39"/>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D4A39"/>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6D4A39"/>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6D4A3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D4A3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D4A3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D4A3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D4A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A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A3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A3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D4A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4A39"/>
    <w:rPr>
      <w:i/>
      <w:iCs/>
      <w:color w:val="404040" w:themeColor="text1" w:themeTint="BF"/>
    </w:rPr>
  </w:style>
  <w:style w:type="paragraph" w:styleId="ListParagraph">
    <w:name w:val="List Paragraph"/>
    <w:basedOn w:val="Normal"/>
    <w:uiPriority w:val="34"/>
    <w:qFormat/>
    <w:rsid w:val="006D4A39"/>
    <w:pPr>
      <w:ind w:left="720"/>
      <w:contextualSpacing/>
    </w:pPr>
  </w:style>
  <w:style w:type="character" w:styleId="IntenseEmphasis">
    <w:name w:val="Intense Emphasis"/>
    <w:basedOn w:val="DefaultParagraphFont"/>
    <w:uiPriority w:val="21"/>
    <w:qFormat/>
    <w:rsid w:val="006D4A39"/>
    <w:rPr>
      <w:i/>
      <w:iCs/>
      <w:color w:val="365F91" w:themeColor="accent1" w:themeShade="BF"/>
    </w:rPr>
  </w:style>
  <w:style w:type="paragraph" w:styleId="IntenseQuote">
    <w:name w:val="Intense Quote"/>
    <w:basedOn w:val="Normal"/>
    <w:next w:val="Normal"/>
    <w:link w:val="IntenseQuoteChar"/>
    <w:uiPriority w:val="30"/>
    <w:qFormat/>
    <w:rsid w:val="006D4A3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D4A39"/>
    <w:rPr>
      <w:i/>
      <w:iCs/>
      <w:color w:val="365F91" w:themeColor="accent1" w:themeShade="BF"/>
    </w:rPr>
  </w:style>
  <w:style w:type="character" w:styleId="IntenseReference">
    <w:name w:val="Intense Reference"/>
    <w:basedOn w:val="DefaultParagraphFont"/>
    <w:uiPriority w:val="32"/>
    <w:qFormat/>
    <w:rsid w:val="006D4A39"/>
    <w:rPr>
      <w:b/>
      <w:bCs/>
      <w:smallCaps/>
      <w:color w:val="365F91" w:themeColor="accent1" w:themeShade="BF"/>
      <w:spacing w:val="5"/>
    </w:rPr>
  </w:style>
  <w:style w:type="table" w:styleId="TableGrid">
    <w:name w:val="Table Grid"/>
    <w:basedOn w:val="TableNormal"/>
    <w:uiPriority w:val="59"/>
    <w:rsid w:val="006D4A39"/>
    <w:pPr>
      <w:jc w:val="left"/>
    </w:pPr>
    <w:rPr>
      <w:rFonts w:asciiTheme="minorHAnsi" w:hAnsiTheme="minorHAnsi"/>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6E7BED"/>
    <w:rPr>
      <w:rFonts w:ascii="Garamond" w:hAnsi="Garamond"/>
    </w:rPr>
  </w:style>
  <w:style w:type="character" w:customStyle="1" w:styleId="FootnoteTextChar">
    <w:name w:val="Footnote Text Char"/>
    <w:basedOn w:val="DefaultParagraphFont"/>
    <w:link w:val="FootnoteText"/>
    <w:uiPriority w:val="99"/>
    <w:rsid w:val="006E7BED"/>
    <w:rPr>
      <w:rFonts w:ascii="Garamond" w:eastAsia="Times New Roman" w:hAnsi="Garamond" w:cs="Times New Roman"/>
      <w:kern w:val="0"/>
      <w:sz w:val="20"/>
      <w:szCs w:val="20"/>
    </w:rPr>
  </w:style>
  <w:style w:type="character" w:styleId="FootnoteReference">
    <w:name w:val="footnote reference"/>
    <w:basedOn w:val="DefaultParagraphFont"/>
    <w:uiPriority w:val="99"/>
    <w:unhideWhenUsed/>
    <w:rsid w:val="006D4A39"/>
    <w:rPr>
      <w:vertAlign w:val="superscript"/>
    </w:rPr>
  </w:style>
  <w:style w:type="character" w:styleId="Hyperlink">
    <w:name w:val="Hyperlink"/>
    <w:basedOn w:val="DefaultParagraphFont"/>
    <w:uiPriority w:val="99"/>
    <w:unhideWhenUsed/>
    <w:rsid w:val="006D4A39"/>
    <w:rPr>
      <w:color w:val="0000FF"/>
      <w:u w:val="single"/>
    </w:rPr>
  </w:style>
  <w:style w:type="paragraph" w:styleId="Footer">
    <w:name w:val="footer"/>
    <w:basedOn w:val="Normal"/>
    <w:link w:val="FooterChar"/>
    <w:uiPriority w:val="99"/>
    <w:unhideWhenUsed/>
    <w:rsid w:val="006D4A39"/>
    <w:pPr>
      <w:tabs>
        <w:tab w:val="center" w:pos="4680"/>
        <w:tab w:val="right" w:pos="9360"/>
      </w:tabs>
    </w:pPr>
  </w:style>
  <w:style w:type="character" w:customStyle="1" w:styleId="FooterChar">
    <w:name w:val="Footer Char"/>
    <w:basedOn w:val="DefaultParagraphFont"/>
    <w:link w:val="Footer"/>
    <w:uiPriority w:val="99"/>
    <w:rsid w:val="006D4A39"/>
    <w:rPr>
      <w:rFonts w:eastAsia="Times New Roman" w:cs="Times New Roman"/>
      <w:kern w:val="0"/>
      <w:sz w:val="20"/>
      <w:szCs w:val="20"/>
    </w:rPr>
  </w:style>
  <w:style w:type="paragraph" w:styleId="Revision">
    <w:name w:val="Revision"/>
    <w:hidden/>
    <w:uiPriority w:val="99"/>
    <w:semiHidden/>
    <w:rsid w:val="00FC5890"/>
    <w:pPr>
      <w:jc w:val="left"/>
    </w:pPr>
    <w:rPr>
      <w:rFonts w:eastAsia="Times New Roman" w:cs="Times New Roman"/>
      <w:kern w:val="0"/>
      <w:sz w:val="20"/>
      <w:szCs w:val="20"/>
    </w:rPr>
  </w:style>
  <w:style w:type="paragraph" w:styleId="Header">
    <w:name w:val="header"/>
    <w:basedOn w:val="Normal"/>
    <w:link w:val="HeaderChar"/>
    <w:uiPriority w:val="99"/>
    <w:unhideWhenUsed/>
    <w:rsid w:val="00C21304"/>
    <w:pPr>
      <w:tabs>
        <w:tab w:val="center" w:pos="4680"/>
        <w:tab w:val="right" w:pos="9360"/>
      </w:tabs>
    </w:pPr>
  </w:style>
  <w:style w:type="character" w:customStyle="1" w:styleId="HeaderChar">
    <w:name w:val="Header Char"/>
    <w:basedOn w:val="DefaultParagraphFont"/>
    <w:link w:val="Header"/>
    <w:uiPriority w:val="99"/>
    <w:rsid w:val="00C21304"/>
    <w:rPr>
      <w:rFonts w:eastAsia="Times New Roman" w:cs="Times New Roman"/>
      <w:kern w:val="0"/>
      <w:sz w:val="20"/>
      <w:szCs w:val="20"/>
    </w:rPr>
  </w:style>
  <w:style w:type="character" w:styleId="UnresolvedMention">
    <w:name w:val="Unresolved Mention"/>
    <w:basedOn w:val="DefaultParagraphFont"/>
    <w:uiPriority w:val="99"/>
    <w:semiHidden/>
    <w:unhideWhenUsed/>
    <w:rsid w:val="00A93EC6"/>
    <w:rPr>
      <w:color w:val="605E5C"/>
      <w:shd w:val="clear" w:color="auto" w:fill="E1DFDD"/>
    </w:rPr>
  </w:style>
  <w:style w:type="paragraph" w:styleId="BodyText">
    <w:name w:val="Body Text"/>
    <w:basedOn w:val="Normal"/>
    <w:link w:val="BodyTextChar"/>
    <w:uiPriority w:val="99"/>
    <w:unhideWhenUsed/>
    <w:rsid w:val="00BF4E58"/>
    <w:pPr>
      <w:spacing w:after="120"/>
    </w:pPr>
    <w:rPr>
      <w14:ligatures w14:val="none"/>
    </w:rPr>
  </w:style>
  <w:style w:type="character" w:customStyle="1" w:styleId="BodyTextChar">
    <w:name w:val="Body Text Char"/>
    <w:basedOn w:val="DefaultParagraphFont"/>
    <w:link w:val="BodyText"/>
    <w:uiPriority w:val="99"/>
    <w:rsid w:val="00BF4E58"/>
    <w:rPr>
      <w:rFonts w:eastAsia="Times New Roman" w:cs="Times New Roman"/>
      <w:kern w:val="0"/>
      <w:sz w:val="20"/>
      <w:szCs w:val="20"/>
      <w14:ligatures w14:val="none"/>
    </w:rPr>
  </w:style>
  <w:style w:type="character" w:styleId="CommentReference">
    <w:name w:val="annotation reference"/>
    <w:basedOn w:val="DefaultParagraphFont"/>
    <w:uiPriority w:val="99"/>
    <w:semiHidden/>
    <w:unhideWhenUsed/>
    <w:rsid w:val="00B4100B"/>
    <w:rPr>
      <w:sz w:val="16"/>
      <w:szCs w:val="16"/>
    </w:rPr>
  </w:style>
  <w:style w:type="paragraph" w:styleId="CommentText">
    <w:name w:val="annotation text"/>
    <w:basedOn w:val="Normal"/>
    <w:link w:val="CommentTextChar"/>
    <w:uiPriority w:val="99"/>
    <w:unhideWhenUsed/>
    <w:rsid w:val="00B4100B"/>
  </w:style>
  <w:style w:type="character" w:customStyle="1" w:styleId="CommentTextChar">
    <w:name w:val="Comment Text Char"/>
    <w:basedOn w:val="DefaultParagraphFont"/>
    <w:link w:val="CommentText"/>
    <w:uiPriority w:val="99"/>
    <w:rsid w:val="00B4100B"/>
    <w:rPr>
      <w:rFonts w:eastAsia="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B4100B"/>
    <w:rPr>
      <w:b/>
      <w:bCs/>
    </w:rPr>
  </w:style>
  <w:style w:type="character" w:customStyle="1" w:styleId="CommentSubjectChar">
    <w:name w:val="Comment Subject Char"/>
    <w:basedOn w:val="CommentTextChar"/>
    <w:link w:val="CommentSubject"/>
    <w:uiPriority w:val="99"/>
    <w:semiHidden/>
    <w:rsid w:val="00B4100B"/>
    <w:rPr>
      <w:rFonts w:eastAsia="Times New Roman"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17615">
      <w:bodyDiv w:val="1"/>
      <w:marLeft w:val="0"/>
      <w:marRight w:val="0"/>
      <w:marTop w:val="0"/>
      <w:marBottom w:val="0"/>
      <w:divBdr>
        <w:top w:val="none" w:sz="0" w:space="0" w:color="auto"/>
        <w:left w:val="none" w:sz="0" w:space="0" w:color="auto"/>
        <w:bottom w:val="none" w:sz="0" w:space="0" w:color="auto"/>
        <w:right w:val="none" w:sz="0" w:space="0" w:color="auto"/>
      </w:divBdr>
      <w:divsChild>
        <w:div w:id="86463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953186">
      <w:bodyDiv w:val="1"/>
      <w:marLeft w:val="0"/>
      <w:marRight w:val="0"/>
      <w:marTop w:val="0"/>
      <w:marBottom w:val="0"/>
      <w:divBdr>
        <w:top w:val="none" w:sz="0" w:space="0" w:color="auto"/>
        <w:left w:val="none" w:sz="0" w:space="0" w:color="auto"/>
        <w:bottom w:val="none" w:sz="0" w:space="0" w:color="auto"/>
        <w:right w:val="none" w:sz="0" w:space="0" w:color="auto"/>
      </w:divBdr>
      <w:divsChild>
        <w:div w:id="1012294279">
          <w:marLeft w:val="0"/>
          <w:marRight w:val="0"/>
          <w:marTop w:val="0"/>
          <w:marBottom w:val="0"/>
          <w:divBdr>
            <w:top w:val="none" w:sz="0" w:space="0" w:color="auto"/>
            <w:left w:val="none" w:sz="0" w:space="0" w:color="auto"/>
            <w:bottom w:val="none" w:sz="0" w:space="0" w:color="auto"/>
            <w:right w:val="none" w:sz="0" w:space="0" w:color="auto"/>
          </w:divBdr>
          <w:divsChild>
            <w:div w:id="713848742">
              <w:marLeft w:val="292"/>
              <w:marRight w:val="292"/>
              <w:marTop w:val="97"/>
              <w:marBottom w:val="195"/>
              <w:divBdr>
                <w:top w:val="single" w:sz="6" w:space="6" w:color="CCCCCC"/>
                <w:left w:val="single" w:sz="6" w:space="6" w:color="CCCCCC"/>
                <w:bottom w:val="single" w:sz="6" w:space="6" w:color="CCCCCC"/>
                <w:right w:val="single" w:sz="6" w:space="6" w:color="CCCCCC"/>
              </w:divBdr>
            </w:div>
          </w:divsChild>
        </w:div>
      </w:divsChild>
    </w:div>
    <w:div w:id="260651019">
      <w:bodyDiv w:val="1"/>
      <w:marLeft w:val="0"/>
      <w:marRight w:val="0"/>
      <w:marTop w:val="0"/>
      <w:marBottom w:val="0"/>
      <w:divBdr>
        <w:top w:val="none" w:sz="0" w:space="0" w:color="auto"/>
        <w:left w:val="none" w:sz="0" w:space="0" w:color="auto"/>
        <w:bottom w:val="none" w:sz="0" w:space="0" w:color="auto"/>
        <w:right w:val="none" w:sz="0" w:space="0" w:color="auto"/>
      </w:divBdr>
      <w:divsChild>
        <w:div w:id="13370713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6304794">
      <w:bodyDiv w:val="1"/>
      <w:marLeft w:val="0"/>
      <w:marRight w:val="0"/>
      <w:marTop w:val="0"/>
      <w:marBottom w:val="0"/>
      <w:divBdr>
        <w:top w:val="none" w:sz="0" w:space="0" w:color="auto"/>
        <w:left w:val="none" w:sz="0" w:space="0" w:color="auto"/>
        <w:bottom w:val="none" w:sz="0" w:space="0" w:color="auto"/>
        <w:right w:val="none" w:sz="0" w:space="0" w:color="auto"/>
      </w:divBdr>
      <w:divsChild>
        <w:div w:id="1167751044">
          <w:marLeft w:val="0"/>
          <w:marRight w:val="0"/>
          <w:marTop w:val="0"/>
          <w:marBottom w:val="0"/>
          <w:divBdr>
            <w:top w:val="none" w:sz="0" w:space="0" w:color="auto"/>
            <w:left w:val="none" w:sz="0" w:space="0" w:color="auto"/>
            <w:bottom w:val="none" w:sz="0" w:space="0" w:color="auto"/>
            <w:right w:val="none" w:sz="0" w:space="0" w:color="auto"/>
          </w:divBdr>
          <w:divsChild>
            <w:div w:id="139928143">
              <w:marLeft w:val="292"/>
              <w:marRight w:val="292"/>
              <w:marTop w:val="97"/>
              <w:marBottom w:val="195"/>
              <w:divBdr>
                <w:top w:val="single" w:sz="6" w:space="6" w:color="CCCCCC"/>
                <w:left w:val="single" w:sz="6" w:space="6" w:color="CCCCCC"/>
                <w:bottom w:val="single" w:sz="6" w:space="6" w:color="CCCCCC"/>
                <w:right w:val="single" w:sz="6" w:space="6" w:color="CCCCCC"/>
              </w:divBdr>
            </w:div>
          </w:divsChild>
        </w:div>
      </w:divsChild>
    </w:div>
    <w:div w:id="1059134921">
      <w:bodyDiv w:val="1"/>
      <w:marLeft w:val="0"/>
      <w:marRight w:val="0"/>
      <w:marTop w:val="0"/>
      <w:marBottom w:val="0"/>
      <w:divBdr>
        <w:top w:val="none" w:sz="0" w:space="0" w:color="auto"/>
        <w:left w:val="none" w:sz="0" w:space="0" w:color="auto"/>
        <w:bottom w:val="none" w:sz="0" w:space="0" w:color="auto"/>
        <w:right w:val="none" w:sz="0" w:space="0" w:color="auto"/>
      </w:divBdr>
      <w:divsChild>
        <w:div w:id="703868022">
          <w:marLeft w:val="0"/>
          <w:marRight w:val="0"/>
          <w:marTop w:val="0"/>
          <w:marBottom w:val="0"/>
          <w:divBdr>
            <w:top w:val="none" w:sz="0" w:space="0" w:color="auto"/>
            <w:left w:val="none" w:sz="0" w:space="0" w:color="auto"/>
            <w:bottom w:val="none" w:sz="0" w:space="0" w:color="auto"/>
            <w:right w:val="none" w:sz="0" w:space="0" w:color="auto"/>
          </w:divBdr>
          <w:divsChild>
            <w:div w:id="320618248">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178156764">
      <w:bodyDiv w:val="1"/>
      <w:marLeft w:val="0"/>
      <w:marRight w:val="0"/>
      <w:marTop w:val="0"/>
      <w:marBottom w:val="0"/>
      <w:divBdr>
        <w:top w:val="none" w:sz="0" w:space="0" w:color="auto"/>
        <w:left w:val="none" w:sz="0" w:space="0" w:color="auto"/>
        <w:bottom w:val="none" w:sz="0" w:space="0" w:color="auto"/>
        <w:right w:val="none" w:sz="0" w:space="0" w:color="auto"/>
      </w:divBdr>
      <w:divsChild>
        <w:div w:id="1701204039">
          <w:marLeft w:val="0"/>
          <w:marRight w:val="0"/>
          <w:marTop w:val="0"/>
          <w:marBottom w:val="0"/>
          <w:divBdr>
            <w:top w:val="none" w:sz="0" w:space="0" w:color="auto"/>
            <w:left w:val="none" w:sz="0" w:space="0" w:color="auto"/>
            <w:bottom w:val="none" w:sz="0" w:space="0" w:color="auto"/>
            <w:right w:val="none" w:sz="0" w:space="0" w:color="auto"/>
          </w:divBdr>
          <w:divsChild>
            <w:div w:id="1201285609">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328560945">
      <w:bodyDiv w:val="1"/>
      <w:marLeft w:val="0"/>
      <w:marRight w:val="0"/>
      <w:marTop w:val="0"/>
      <w:marBottom w:val="0"/>
      <w:divBdr>
        <w:top w:val="none" w:sz="0" w:space="0" w:color="auto"/>
        <w:left w:val="none" w:sz="0" w:space="0" w:color="auto"/>
        <w:bottom w:val="none" w:sz="0" w:space="0" w:color="auto"/>
        <w:right w:val="none" w:sz="0" w:space="0" w:color="auto"/>
      </w:divBdr>
      <w:divsChild>
        <w:div w:id="1050031860">
          <w:marLeft w:val="0"/>
          <w:marRight w:val="0"/>
          <w:marTop w:val="0"/>
          <w:marBottom w:val="0"/>
          <w:divBdr>
            <w:top w:val="none" w:sz="0" w:space="0" w:color="auto"/>
            <w:left w:val="none" w:sz="0" w:space="0" w:color="auto"/>
            <w:bottom w:val="none" w:sz="0" w:space="0" w:color="auto"/>
            <w:right w:val="none" w:sz="0" w:space="0" w:color="auto"/>
          </w:divBdr>
          <w:divsChild>
            <w:div w:id="706178080">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629821095">
      <w:bodyDiv w:val="1"/>
      <w:marLeft w:val="0"/>
      <w:marRight w:val="0"/>
      <w:marTop w:val="0"/>
      <w:marBottom w:val="0"/>
      <w:divBdr>
        <w:top w:val="none" w:sz="0" w:space="0" w:color="auto"/>
        <w:left w:val="none" w:sz="0" w:space="0" w:color="auto"/>
        <w:bottom w:val="none" w:sz="0" w:space="0" w:color="auto"/>
        <w:right w:val="none" w:sz="0" w:space="0" w:color="auto"/>
      </w:divBdr>
      <w:divsChild>
        <w:div w:id="472017046">
          <w:marLeft w:val="0"/>
          <w:marRight w:val="0"/>
          <w:marTop w:val="0"/>
          <w:marBottom w:val="0"/>
          <w:divBdr>
            <w:top w:val="none" w:sz="0" w:space="0" w:color="auto"/>
            <w:left w:val="none" w:sz="0" w:space="0" w:color="auto"/>
            <w:bottom w:val="none" w:sz="0" w:space="0" w:color="auto"/>
            <w:right w:val="none" w:sz="0" w:space="0" w:color="auto"/>
          </w:divBdr>
          <w:divsChild>
            <w:div w:id="1440031911">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643343033">
      <w:bodyDiv w:val="1"/>
      <w:marLeft w:val="0"/>
      <w:marRight w:val="0"/>
      <w:marTop w:val="0"/>
      <w:marBottom w:val="0"/>
      <w:divBdr>
        <w:top w:val="none" w:sz="0" w:space="0" w:color="auto"/>
        <w:left w:val="none" w:sz="0" w:space="0" w:color="auto"/>
        <w:bottom w:val="none" w:sz="0" w:space="0" w:color="auto"/>
        <w:right w:val="none" w:sz="0" w:space="0" w:color="auto"/>
      </w:divBdr>
      <w:divsChild>
        <w:div w:id="1089958896">
          <w:marLeft w:val="0"/>
          <w:marRight w:val="0"/>
          <w:marTop w:val="0"/>
          <w:marBottom w:val="0"/>
          <w:divBdr>
            <w:top w:val="none" w:sz="0" w:space="0" w:color="auto"/>
            <w:left w:val="none" w:sz="0" w:space="0" w:color="auto"/>
            <w:bottom w:val="none" w:sz="0" w:space="0" w:color="auto"/>
            <w:right w:val="none" w:sz="0" w:space="0" w:color="auto"/>
          </w:divBdr>
          <w:divsChild>
            <w:div w:id="129716328">
              <w:marLeft w:val="292"/>
              <w:marRight w:val="292"/>
              <w:marTop w:val="97"/>
              <w:marBottom w:val="195"/>
              <w:divBdr>
                <w:top w:val="single" w:sz="6" w:space="6" w:color="CCCCCC"/>
                <w:left w:val="single" w:sz="6" w:space="6" w:color="CCCCCC"/>
                <w:bottom w:val="single" w:sz="6" w:space="6" w:color="CCCCCC"/>
                <w:right w:val="single" w:sz="6" w:space="6" w:color="CCCCCC"/>
              </w:divBdr>
            </w:div>
          </w:divsChild>
        </w:div>
      </w:divsChild>
    </w:div>
    <w:div w:id="1828934621">
      <w:bodyDiv w:val="1"/>
      <w:marLeft w:val="0"/>
      <w:marRight w:val="0"/>
      <w:marTop w:val="0"/>
      <w:marBottom w:val="0"/>
      <w:divBdr>
        <w:top w:val="none" w:sz="0" w:space="0" w:color="auto"/>
        <w:left w:val="none" w:sz="0" w:space="0" w:color="auto"/>
        <w:bottom w:val="none" w:sz="0" w:space="0" w:color="auto"/>
        <w:right w:val="none" w:sz="0" w:space="0" w:color="auto"/>
      </w:divBdr>
      <w:divsChild>
        <w:div w:id="1674915519">
          <w:marLeft w:val="0"/>
          <w:marRight w:val="0"/>
          <w:marTop w:val="0"/>
          <w:marBottom w:val="0"/>
          <w:divBdr>
            <w:top w:val="none" w:sz="0" w:space="0" w:color="auto"/>
            <w:left w:val="none" w:sz="0" w:space="0" w:color="auto"/>
            <w:bottom w:val="none" w:sz="0" w:space="0" w:color="auto"/>
            <w:right w:val="none" w:sz="0" w:space="0" w:color="auto"/>
          </w:divBdr>
          <w:divsChild>
            <w:div w:id="1470169691">
              <w:marLeft w:val="292"/>
              <w:marRight w:val="292"/>
              <w:marTop w:val="97"/>
              <w:marBottom w:val="195"/>
              <w:divBdr>
                <w:top w:val="single" w:sz="6" w:space="6" w:color="CCCCCC"/>
                <w:left w:val="single" w:sz="6" w:space="6" w:color="CCCCCC"/>
                <w:bottom w:val="single" w:sz="6" w:space="6" w:color="CCCCCC"/>
                <w:right w:val="single" w:sz="6" w:space="6" w:color="CCCCCC"/>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kassab.law"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lance@kassab.law"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azo@mdjwlaw.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efferson@mdjwlaw.com" TargetMode="External"/><Relationship Id="rId4" Type="http://schemas.openxmlformats.org/officeDocument/2006/relationships/webSettings" Target="webSettings.xml"/><Relationship Id="rId9" Type="http://schemas.openxmlformats.org/officeDocument/2006/relationships/hyperlink" Target="mailto:eserve@kassab.law"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adr.org/news-and-insights/the-what-why-and-how-of-arbitrator-disclosures/" TargetMode="External"/><Relationship Id="rId2" Type="http://schemas.openxmlformats.org/officeDocument/2006/relationships/hyperlink" Target="https://www.adr.org/news-and-insights/the-what-why-and-how-of-arbitrator-disclosures/" TargetMode="External"/><Relationship Id="rId1" Type="http://schemas.openxmlformats.org/officeDocument/2006/relationships/hyperlink" Target="https://www.adr.org/news-and-insights/the-what-why-and-how-of-arbitrator-disclosures/" TargetMode="External"/><Relationship Id="rId5" Type="http://schemas.openxmlformats.org/officeDocument/2006/relationships/hyperlink" Target="https://youtu.be/lgHSGHJc7xE?si=ol_w95WdbGQUAmUd" TargetMode="External"/><Relationship Id="rId4" Type="http://schemas.openxmlformats.org/officeDocument/2006/relationships/hyperlink" Target="https://www.youtube.com/watch?v=j5aWUy6oJ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3966</Words>
  <Characters>21220</Characters>
  <Application>Microsoft Office Word</Application>
  <DocSecurity>0</DocSecurity>
  <PresentationFormat>15|.DOCX</PresentationFormat>
  <Lines>385</Lines>
  <Paragraphs>131</Paragraphs>
  <ScaleCrop>false</ScaleCrop>
  <HeadingPairs>
    <vt:vector size="2" baseType="variant">
      <vt:variant>
        <vt:lpstr>Title</vt:lpstr>
      </vt:variant>
      <vt:variant>
        <vt:i4>1</vt:i4>
      </vt:variant>
    </vt:vector>
  </HeadingPairs>
  <TitlesOfParts>
    <vt:vector size="1" baseType="lpstr">
      <vt:lpstr>Response to Motion for Sanctions (03244649).DOCX</vt:lpstr>
    </vt:vector>
  </TitlesOfParts>
  <Company/>
  <LinksUpToDate>false</LinksUpToDate>
  <CharactersWithSpaces>25055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Motion for Sanctions (03244649).DOCX</dc:title>
  <dc:subject/>
  <dc:creator>Raul Suazo</dc:creator>
  <cp:keywords/>
  <dc:description/>
  <cp:lastModifiedBy>Admin BB7</cp:lastModifiedBy>
  <cp:revision>2</cp:revision>
  <cp:lastPrinted>2024-08-22T14:30:00Z</cp:lastPrinted>
  <dcterms:created xsi:type="dcterms:W3CDTF">2026-04-14T23:05:00Z</dcterms:created>
  <dcterms:modified xsi:type="dcterms:W3CDTF">2026-04-14T23:05:00Z</dcterms:modified>
</cp:coreProperties>
</file>