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0E920" w14:textId="77777777" w:rsidR="00A64AF3" w:rsidRPr="006D4A39" w:rsidRDefault="00A64AF3" w:rsidP="00A64AF3">
      <w:pPr>
        <w:jc w:val="center"/>
        <w:rPr>
          <w:b/>
          <w:bCs/>
          <w:sz w:val="24"/>
          <w:szCs w:val="24"/>
        </w:rPr>
      </w:pPr>
      <w:bookmarkStart w:id="0" w:name="_Hlk103077562"/>
      <w:r w:rsidRPr="007A7CE3">
        <w:rPr>
          <w:b/>
          <w:bCs/>
          <w:sz w:val="24"/>
          <w:szCs w:val="24"/>
        </w:rPr>
        <w:t>CAUSE NO. 2021-8</w:t>
      </w:r>
      <w:r w:rsidRPr="006D4A39">
        <w:rPr>
          <w:b/>
          <w:bCs/>
          <w:sz w:val="24"/>
          <w:szCs w:val="24"/>
        </w:rPr>
        <w:t>0256</w:t>
      </w:r>
    </w:p>
    <w:p w14:paraId="742C3C99" w14:textId="77777777" w:rsidR="00A64AF3" w:rsidRPr="006D4A39" w:rsidRDefault="00A64AF3" w:rsidP="00A64AF3">
      <w:pPr>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445"/>
        <w:gridCol w:w="4315"/>
      </w:tblGrid>
      <w:tr w:rsidR="00A64AF3" w:rsidRPr="006D4A39" w14:paraId="50916A27" w14:textId="77777777" w:rsidTr="00CB0BEC">
        <w:tc>
          <w:tcPr>
            <w:tcW w:w="4590" w:type="dxa"/>
          </w:tcPr>
          <w:p w14:paraId="601DC0D3" w14:textId="77777777" w:rsidR="00A64AF3" w:rsidRPr="006D4A39" w:rsidRDefault="00A64AF3" w:rsidP="00CB0BEC">
            <w:pPr>
              <w:jc w:val="both"/>
              <w:rPr>
                <w:b/>
                <w:bCs/>
                <w:sz w:val="24"/>
                <w:szCs w:val="24"/>
              </w:rPr>
            </w:pPr>
            <w:r w:rsidRPr="006D4A39">
              <w:rPr>
                <w:b/>
                <w:bCs/>
                <w:sz w:val="24"/>
                <w:szCs w:val="24"/>
              </w:rPr>
              <w:t>CAROLINE ALLISON</w:t>
            </w:r>
          </w:p>
          <w:p w14:paraId="707B599B" w14:textId="77777777" w:rsidR="00A64AF3" w:rsidRPr="006D4A39" w:rsidRDefault="00A64AF3" w:rsidP="00CB0BEC">
            <w:pPr>
              <w:ind w:firstLine="338"/>
              <w:jc w:val="both"/>
              <w:rPr>
                <w:b/>
                <w:bCs/>
                <w:sz w:val="24"/>
                <w:szCs w:val="24"/>
              </w:rPr>
            </w:pPr>
            <w:r w:rsidRPr="006D4A39">
              <w:rPr>
                <w:b/>
                <w:bCs/>
                <w:sz w:val="24"/>
                <w:szCs w:val="24"/>
              </w:rPr>
              <w:t>Plaintiff</w:t>
            </w:r>
          </w:p>
          <w:p w14:paraId="47299248" w14:textId="77777777" w:rsidR="00A64AF3" w:rsidRPr="006D4A39" w:rsidRDefault="00A64AF3" w:rsidP="00CB0BEC">
            <w:pPr>
              <w:jc w:val="both"/>
              <w:rPr>
                <w:b/>
                <w:bCs/>
                <w:sz w:val="24"/>
                <w:szCs w:val="24"/>
              </w:rPr>
            </w:pPr>
          </w:p>
          <w:p w14:paraId="20DDC17B" w14:textId="77777777" w:rsidR="00A64AF3" w:rsidRPr="006D4A39" w:rsidRDefault="00A64AF3" w:rsidP="00CB0BEC">
            <w:pPr>
              <w:jc w:val="both"/>
              <w:rPr>
                <w:b/>
                <w:bCs/>
                <w:sz w:val="24"/>
                <w:szCs w:val="24"/>
              </w:rPr>
            </w:pPr>
            <w:r w:rsidRPr="006D4A39">
              <w:rPr>
                <w:b/>
                <w:bCs/>
                <w:sz w:val="24"/>
                <w:szCs w:val="24"/>
              </w:rPr>
              <w:t>v.</w:t>
            </w:r>
          </w:p>
          <w:p w14:paraId="76543FAE" w14:textId="77777777" w:rsidR="00A64AF3" w:rsidRPr="006D4A39" w:rsidRDefault="00A64AF3" w:rsidP="00CB0BEC">
            <w:pPr>
              <w:jc w:val="both"/>
              <w:rPr>
                <w:b/>
                <w:bCs/>
                <w:sz w:val="24"/>
                <w:szCs w:val="24"/>
              </w:rPr>
            </w:pPr>
          </w:p>
          <w:p w14:paraId="191BF8AA" w14:textId="77777777" w:rsidR="00A64AF3" w:rsidRPr="006D4A39" w:rsidRDefault="00A64AF3" w:rsidP="00CB0BEC">
            <w:pPr>
              <w:rPr>
                <w:b/>
                <w:bCs/>
                <w:sz w:val="24"/>
                <w:szCs w:val="24"/>
              </w:rPr>
            </w:pPr>
            <w:r w:rsidRPr="006D4A39">
              <w:rPr>
                <w:b/>
                <w:bCs/>
                <w:sz w:val="24"/>
                <w:szCs w:val="24"/>
              </w:rPr>
              <w:t>BORUNDA, P.C., JORGE BORUNDA, NICHOLAS ABAZA, LAW OFFICES OF NICHOLAS ABAZA, P.C., MICHAEL TREVINO, and LAW OFFICE OF MICHAEL A. TREVINO, PLLC</w:t>
            </w:r>
          </w:p>
          <w:p w14:paraId="611F4E60" w14:textId="77777777" w:rsidR="00A64AF3" w:rsidRPr="006D4A39" w:rsidRDefault="00A64AF3" w:rsidP="00CB0BEC">
            <w:pPr>
              <w:ind w:firstLine="338"/>
              <w:jc w:val="both"/>
              <w:rPr>
                <w:b/>
                <w:bCs/>
                <w:sz w:val="24"/>
                <w:szCs w:val="24"/>
              </w:rPr>
            </w:pPr>
            <w:r w:rsidRPr="006D4A39">
              <w:rPr>
                <w:b/>
                <w:bCs/>
                <w:sz w:val="24"/>
                <w:szCs w:val="24"/>
              </w:rPr>
              <w:t>Defendants</w:t>
            </w:r>
          </w:p>
        </w:tc>
        <w:tc>
          <w:tcPr>
            <w:tcW w:w="445" w:type="dxa"/>
          </w:tcPr>
          <w:p w14:paraId="090E90B2" w14:textId="77777777" w:rsidR="00A64AF3" w:rsidRPr="006D4A39" w:rsidRDefault="00A64AF3" w:rsidP="00CB0BEC">
            <w:pPr>
              <w:jc w:val="both"/>
              <w:rPr>
                <w:b/>
                <w:bCs/>
                <w:sz w:val="24"/>
                <w:szCs w:val="24"/>
              </w:rPr>
            </w:pPr>
            <w:r w:rsidRPr="006D4A39">
              <w:rPr>
                <w:b/>
                <w:bCs/>
                <w:sz w:val="24"/>
                <w:szCs w:val="24"/>
              </w:rPr>
              <w:t>§</w:t>
            </w:r>
          </w:p>
          <w:p w14:paraId="0ED1ABA6" w14:textId="77777777" w:rsidR="00A64AF3" w:rsidRPr="006D4A39" w:rsidRDefault="00A64AF3" w:rsidP="00CB0BEC">
            <w:pPr>
              <w:jc w:val="both"/>
              <w:rPr>
                <w:b/>
                <w:bCs/>
                <w:sz w:val="24"/>
                <w:szCs w:val="24"/>
              </w:rPr>
            </w:pPr>
            <w:r w:rsidRPr="006D4A39">
              <w:rPr>
                <w:b/>
                <w:bCs/>
                <w:sz w:val="24"/>
                <w:szCs w:val="24"/>
              </w:rPr>
              <w:t>§</w:t>
            </w:r>
          </w:p>
          <w:p w14:paraId="1CB2AE83" w14:textId="77777777" w:rsidR="00A64AF3" w:rsidRPr="006D4A39" w:rsidRDefault="00A64AF3" w:rsidP="00CB0BEC">
            <w:pPr>
              <w:jc w:val="both"/>
              <w:rPr>
                <w:b/>
                <w:bCs/>
                <w:sz w:val="24"/>
                <w:szCs w:val="24"/>
              </w:rPr>
            </w:pPr>
            <w:r w:rsidRPr="006D4A39">
              <w:rPr>
                <w:b/>
                <w:bCs/>
                <w:sz w:val="24"/>
                <w:szCs w:val="24"/>
              </w:rPr>
              <w:t>§</w:t>
            </w:r>
          </w:p>
          <w:p w14:paraId="0DDD9BB4" w14:textId="77777777" w:rsidR="00A64AF3" w:rsidRPr="006D4A39" w:rsidRDefault="00A64AF3" w:rsidP="00CB0BEC">
            <w:pPr>
              <w:jc w:val="both"/>
              <w:rPr>
                <w:b/>
                <w:bCs/>
                <w:sz w:val="24"/>
                <w:szCs w:val="24"/>
              </w:rPr>
            </w:pPr>
            <w:r w:rsidRPr="006D4A39">
              <w:rPr>
                <w:b/>
                <w:bCs/>
                <w:sz w:val="24"/>
                <w:szCs w:val="24"/>
              </w:rPr>
              <w:t>§</w:t>
            </w:r>
          </w:p>
          <w:p w14:paraId="09AB0024" w14:textId="77777777" w:rsidR="00A64AF3" w:rsidRPr="006D4A39" w:rsidRDefault="00A64AF3" w:rsidP="00CB0BEC">
            <w:pPr>
              <w:jc w:val="both"/>
              <w:rPr>
                <w:b/>
                <w:bCs/>
                <w:sz w:val="24"/>
                <w:szCs w:val="24"/>
              </w:rPr>
            </w:pPr>
            <w:r w:rsidRPr="006D4A39">
              <w:rPr>
                <w:b/>
                <w:bCs/>
                <w:sz w:val="24"/>
                <w:szCs w:val="24"/>
              </w:rPr>
              <w:t>§</w:t>
            </w:r>
          </w:p>
          <w:p w14:paraId="00311DF4" w14:textId="77777777" w:rsidR="00A64AF3" w:rsidRPr="006D4A39" w:rsidRDefault="00A64AF3" w:rsidP="00CB0BEC">
            <w:pPr>
              <w:jc w:val="both"/>
              <w:rPr>
                <w:b/>
                <w:bCs/>
                <w:sz w:val="24"/>
                <w:szCs w:val="24"/>
              </w:rPr>
            </w:pPr>
            <w:r w:rsidRPr="006D4A39">
              <w:rPr>
                <w:b/>
                <w:bCs/>
                <w:sz w:val="24"/>
                <w:szCs w:val="24"/>
              </w:rPr>
              <w:t>§</w:t>
            </w:r>
          </w:p>
          <w:p w14:paraId="7756C7F1" w14:textId="77777777" w:rsidR="00A64AF3" w:rsidRPr="006D4A39" w:rsidRDefault="00A64AF3" w:rsidP="00CB0BEC">
            <w:pPr>
              <w:jc w:val="both"/>
              <w:rPr>
                <w:b/>
                <w:bCs/>
                <w:sz w:val="24"/>
                <w:szCs w:val="24"/>
              </w:rPr>
            </w:pPr>
            <w:r w:rsidRPr="006D4A39">
              <w:rPr>
                <w:b/>
                <w:bCs/>
                <w:sz w:val="24"/>
                <w:szCs w:val="24"/>
              </w:rPr>
              <w:t>§</w:t>
            </w:r>
          </w:p>
          <w:p w14:paraId="5741727E" w14:textId="77777777" w:rsidR="00A64AF3" w:rsidRPr="006D4A39" w:rsidRDefault="00A64AF3" w:rsidP="00CB0BEC">
            <w:pPr>
              <w:jc w:val="both"/>
              <w:rPr>
                <w:b/>
                <w:bCs/>
                <w:sz w:val="24"/>
                <w:szCs w:val="24"/>
              </w:rPr>
            </w:pPr>
            <w:r w:rsidRPr="006D4A39">
              <w:rPr>
                <w:b/>
                <w:bCs/>
                <w:sz w:val="24"/>
                <w:szCs w:val="24"/>
              </w:rPr>
              <w:t>§</w:t>
            </w:r>
          </w:p>
          <w:p w14:paraId="04D24370" w14:textId="77777777" w:rsidR="00A64AF3" w:rsidRPr="006D4A39" w:rsidRDefault="00A64AF3" w:rsidP="00CB0BEC">
            <w:pPr>
              <w:jc w:val="both"/>
              <w:rPr>
                <w:b/>
                <w:bCs/>
                <w:sz w:val="24"/>
                <w:szCs w:val="24"/>
              </w:rPr>
            </w:pPr>
            <w:r w:rsidRPr="006D4A39">
              <w:rPr>
                <w:b/>
                <w:bCs/>
                <w:sz w:val="24"/>
                <w:szCs w:val="24"/>
              </w:rPr>
              <w:t>§</w:t>
            </w:r>
          </w:p>
          <w:p w14:paraId="1171D63D" w14:textId="77777777" w:rsidR="00A64AF3" w:rsidRPr="006D4A39" w:rsidRDefault="00A64AF3" w:rsidP="00CB0BEC">
            <w:pPr>
              <w:jc w:val="both"/>
              <w:rPr>
                <w:b/>
                <w:bCs/>
                <w:sz w:val="24"/>
                <w:szCs w:val="24"/>
              </w:rPr>
            </w:pPr>
            <w:r w:rsidRPr="006D4A39">
              <w:rPr>
                <w:b/>
                <w:bCs/>
                <w:sz w:val="24"/>
                <w:szCs w:val="24"/>
              </w:rPr>
              <w:t>§</w:t>
            </w:r>
          </w:p>
          <w:p w14:paraId="57349EA0" w14:textId="77777777" w:rsidR="00A64AF3" w:rsidRPr="006D4A39" w:rsidRDefault="00A64AF3" w:rsidP="00CB0BEC">
            <w:pPr>
              <w:jc w:val="both"/>
              <w:rPr>
                <w:b/>
                <w:bCs/>
                <w:sz w:val="24"/>
                <w:szCs w:val="24"/>
              </w:rPr>
            </w:pPr>
            <w:r w:rsidRPr="006D4A39">
              <w:rPr>
                <w:b/>
                <w:bCs/>
                <w:sz w:val="24"/>
                <w:szCs w:val="24"/>
              </w:rPr>
              <w:t>§</w:t>
            </w:r>
          </w:p>
          <w:p w14:paraId="18B6505F" w14:textId="77777777" w:rsidR="00A64AF3" w:rsidRPr="006D4A39" w:rsidRDefault="00A64AF3" w:rsidP="00CB0BEC">
            <w:pPr>
              <w:jc w:val="both"/>
              <w:rPr>
                <w:b/>
                <w:bCs/>
                <w:sz w:val="24"/>
                <w:szCs w:val="24"/>
              </w:rPr>
            </w:pPr>
            <w:r w:rsidRPr="006D4A39">
              <w:rPr>
                <w:b/>
                <w:bCs/>
                <w:sz w:val="24"/>
                <w:szCs w:val="24"/>
              </w:rPr>
              <w:t>§</w:t>
            </w:r>
          </w:p>
        </w:tc>
        <w:tc>
          <w:tcPr>
            <w:tcW w:w="4315" w:type="dxa"/>
          </w:tcPr>
          <w:p w14:paraId="253603BC" w14:textId="77777777" w:rsidR="00A64AF3" w:rsidRPr="006D4A39" w:rsidRDefault="00A64AF3" w:rsidP="00CB0BEC">
            <w:pPr>
              <w:jc w:val="right"/>
              <w:rPr>
                <w:b/>
                <w:bCs/>
                <w:sz w:val="24"/>
                <w:szCs w:val="24"/>
              </w:rPr>
            </w:pPr>
            <w:r w:rsidRPr="006D4A39">
              <w:rPr>
                <w:b/>
                <w:bCs/>
                <w:sz w:val="24"/>
                <w:szCs w:val="24"/>
              </w:rPr>
              <w:t>IN THE DISTRICT COURT</w:t>
            </w:r>
          </w:p>
          <w:p w14:paraId="243A181E" w14:textId="77777777" w:rsidR="00A64AF3" w:rsidRPr="006D4A39" w:rsidRDefault="00A64AF3" w:rsidP="00CB0BEC">
            <w:pPr>
              <w:jc w:val="right"/>
              <w:rPr>
                <w:b/>
                <w:bCs/>
                <w:sz w:val="24"/>
                <w:szCs w:val="24"/>
              </w:rPr>
            </w:pPr>
          </w:p>
          <w:p w14:paraId="63BC020D" w14:textId="77777777" w:rsidR="00A64AF3" w:rsidRPr="006D4A39" w:rsidRDefault="00A64AF3" w:rsidP="00CB0BEC">
            <w:pPr>
              <w:jc w:val="right"/>
              <w:rPr>
                <w:b/>
                <w:bCs/>
                <w:sz w:val="24"/>
                <w:szCs w:val="24"/>
              </w:rPr>
            </w:pPr>
          </w:p>
          <w:p w14:paraId="3EA78DAE" w14:textId="77777777" w:rsidR="00A64AF3" w:rsidRPr="006D4A39" w:rsidRDefault="00A64AF3" w:rsidP="00CB0BEC">
            <w:pPr>
              <w:jc w:val="right"/>
              <w:rPr>
                <w:b/>
                <w:bCs/>
                <w:sz w:val="24"/>
                <w:szCs w:val="24"/>
              </w:rPr>
            </w:pPr>
            <w:r w:rsidRPr="006D4A39">
              <w:rPr>
                <w:b/>
                <w:bCs/>
                <w:sz w:val="24"/>
                <w:szCs w:val="24"/>
              </w:rPr>
              <w:t>OF HARRIS COUNTY, TEXAS</w:t>
            </w:r>
          </w:p>
          <w:p w14:paraId="3CF327B3" w14:textId="77777777" w:rsidR="00A64AF3" w:rsidRPr="006D4A39" w:rsidRDefault="00A64AF3" w:rsidP="00CB0BEC">
            <w:pPr>
              <w:jc w:val="right"/>
              <w:rPr>
                <w:b/>
                <w:bCs/>
                <w:sz w:val="24"/>
                <w:szCs w:val="24"/>
              </w:rPr>
            </w:pPr>
          </w:p>
          <w:p w14:paraId="5746CF8C" w14:textId="77777777" w:rsidR="00A64AF3" w:rsidRPr="006D4A39" w:rsidRDefault="00A64AF3" w:rsidP="00CB0BEC">
            <w:pPr>
              <w:rPr>
                <w:b/>
                <w:bCs/>
                <w:sz w:val="24"/>
                <w:szCs w:val="24"/>
              </w:rPr>
            </w:pPr>
          </w:p>
          <w:p w14:paraId="52951FAD" w14:textId="77777777" w:rsidR="00A64AF3" w:rsidRPr="006D4A39" w:rsidRDefault="00A64AF3" w:rsidP="00CB0BEC">
            <w:pPr>
              <w:jc w:val="right"/>
              <w:rPr>
                <w:b/>
                <w:bCs/>
                <w:sz w:val="24"/>
                <w:szCs w:val="24"/>
              </w:rPr>
            </w:pPr>
          </w:p>
          <w:p w14:paraId="3DED0651" w14:textId="77777777" w:rsidR="00A64AF3" w:rsidRPr="006D4A39" w:rsidRDefault="00A64AF3" w:rsidP="00CB0BEC">
            <w:pPr>
              <w:jc w:val="right"/>
              <w:rPr>
                <w:b/>
                <w:bCs/>
                <w:sz w:val="24"/>
                <w:szCs w:val="24"/>
              </w:rPr>
            </w:pPr>
          </w:p>
          <w:p w14:paraId="49181C6E" w14:textId="77777777" w:rsidR="00A64AF3" w:rsidRPr="006D4A39" w:rsidRDefault="00A64AF3" w:rsidP="00CB0BEC">
            <w:pPr>
              <w:jc w:val="right"/>
              <w:rPr>
                <w:b/>
                <w:bCs/>
                <w:sz w:val="24"/>
                <w:szCs w:val="24"/>
              </w:rPr>
            </w:pPr>
          </w:p>
          <w:p w14:paraId="3D077AFB" w14:textId="77777777" w:rsidR="00A64AF3" w:rsidRPr="006D4A39" w:rsidRDefault="00A64AF3" w:rsidP="00CB0BEC">
            <w:pPr>
              <w:jc w:val="right"/>
              <w:rPr>
                <w:b/>
                <w:bCs/>
                <w:sz w:val="24"/>
                <w:szCs w:val="24"/>
              </w:rPr>
            </w:pPr>
          </w:p>
          <w:p w14:paraId="6305D2E9" w14:textId="77777777" w:rsidR="00A64AF3" w:rsidRPr="006D4A39" w:rsidRDefault="00A64AF3" w:rsidP="00CB0BEC">
            <w:pPr>
              <w:jc w:val="right"/>
              <w:rPr>
                <w:b/>
                <w:bCs/>
                <w:sz w:val="24"/>
                <w:szCs w:val="24"/>
              </w:rPr>
            </w:pPr>
          </w:p>
          <w:p w14:paraId="71792BC7" w14:textId="77777777" w:rsidR="00A64AF3" w:rsidRPr="006D4A39" w:rsidRDefault="00A64AF3" w:rsidP="00CB0BEC">
            <w:pPr>
              <w:jc w:val="right"/>
              <w:rPr>
                <w:b/>
                <w:bCs/>
                <w:sz w:val="24"/>
                <w:szCs w:val="24"/>
              </w:rPr>
            </w:pPr>
            <w:r w:rsidRPr="006D4A39">
              <w:rPr>
                <w:b/>
                <w:bCs/>
                <w:sz w:val="24"/>
                <w:szCs w:val="24"/>
              </w:rPr>
              <w:t>269</w:t>
            </w:r>
            <w:r w:rsidRPr="006D4A39">
              <w:rPr>
                <w:b/>
                <w:bCs/>
                <w:sz w:val="24"/>
                <w:szCs w:val="24"/>
                <w:vertAlign w:val="superscript"/>
              </w:rPr>
              <w:t>th</w:t>
            </w:r>
            <w:r w:rsidRPr="006D4A39">
              <w:rPr>
                <w:b/>
                <w:bCs/>
                <w:sz w:val="24"/>
                <w:szCs w:val="24"/>
              </w:rPr>
              <w:t xml:space="preserve"> JUDICIAL DISTRICT</w:t>
            </w:r>
          </w:p>
        </w:tc>
      </w:tr>
      <w:bookmarkEnd w:id="0"/>
    </w:tbl>
    <w:p w14:paraId="75A2338E" w14:textId="77777777" w:rsidR="00A64AF3" w:rsidRPr="006D4A39" w:rsidRDefault="00A64AF3" w:rsidP="00A64AF3">
      <w:pPr>
        <w:rPr>
          <w:sz w:val="24"/>
          <w:szCs w:val="24"/>
        </w:rPr>
      </w:pPr>
    </w:p>
    <w:p w14:paraId="6AA0C32C" w14:textId="71F21607" w:rsidR="00A64AF3" w:rsidRDefault="00A64AF3" w:rsidP="00A64AF3">
      <w:pPr>
        <w:jc w:val="center"/>
        <w:rPr>
          <w:b/>
          <w:snapToGrid w:val="0"/>
          <w:sz w:val="24"/>
          <w:szCs w:val="24"/>
          <w:u w:val="single"/>
        </w:rPr>
      </w:pPr>
      <w:r w:rsidRPr="006D4A39">
        <w:rPr>
          <w:b/>
          <w:snapToGrid w:val="0"/>
          <w:sz w:val="24"/>
          <w:szCs w:val="24"/>
          <w:u w:val="single"/>
        </w:rPr>
        <w:t xml:space="preserve">INTERVENOR RICHARD ALLISON AND PLAINTIFF CAROLINE ALLISON’S </w:t>
      </w:r>
      <w:r>
        <w:rPr>
          <w:b/>
          <w:snapToGrid w:val="0"/>
          <w:sz w:val="24"/>
          <w:szCs w:val="24"/>
          <w:u w:val="single"/>
        </w:rPr>
        <w:t>MOTION FOR NEW TRIAL AND/OR MOTION TO MODIFY JUDGMENT</w:t>
      </w:r>
    </w:p>
    <w:p w14:paraId="2179A668" w14:textId="77777777" w:rsidR="00A64AF3" w:rsidRDefault="00A64AF3" w:rsidP="00A64AF3">
      <w:pPr>
        <w:rPr>
          <w:b/>
          <w:snapToGrid w:val="0"/>
          <w:sz w:val="24"/>
          <w:szCs w:val="24"/>
          <w:u w:val="single"/>
        </w:rPr>
      </w:pPr>
    </w:p>
    <w:p w14:paraId="4F304EDA" w14:textId="2CC80F03" w:rsidR="00A64AF3" w:rsidRPr="00A64AF3" w:rsidRDefault="00A64AF3" w:rsidP="00A64AF3">
      <w:pPr>
        <w:spacing w:line="480" w:lineRule="auto"/>
        <w:ind w:firstLine="720"/>
        <w:jc w:val="both"/>
        <w:rPr>
          <w:bCs/>
          <w:snapToGrid w:val="0"/>
          <w:sz w:val="24"/>
          <w:szCs w:val="24"/>
        </w:rPr>
      </w:pPr>
      <w:r w:rsidRPr="006D4A39">
        <w:rPr>
          <w:bCs/>
          <w:snapToGrid w:val="0"/>
          <w:sz w:val="24"/>
          <w:szCs w:val="24"/>
        </w:rPr>
        <w:t xml:space="preserve">Intervenor Richard Allison </w:t>
      </w:r>
      <w:r w:rsidR="00E968B4">
        <w:rPr>
          <w:bCs/>
          <w:snapToGrid w:val="0"/>
          <w:sz w:val="24"/>
          <w:szCs w:val="24"/>
        </w:rPr>
        <w:t>(“Rich</w:t>
      </w:r>
      <w:r w:rsidR="003C1DBD">
        <w:rPr>
          <w:bCs/>
          <w:snapToGrid w:val="0"/>
          <w:sz w:val="24"/>
          <w:szCs w:val="24"/>
        </w:rPr>
        <w:t>ard</w:t>
      </w:r>
      <w:r w:rsidR="00E968B4">
        <w:rPr>
          <w:bCs/>
          <w:snapToGrid w:val="0"/>
          <w:sz w:val="24"/>
          <w:szCs w:val="24"/>
        </w:rPr>
        <w:t xml:space="preserve">”) </w:t>
      </w:r>
      <w:r w:rsidRPr="006D4A39">
        <w:rPr>
          <w:bCs/>
          <w:snapToGrid w:val="0"/>
          <w:sz w:val="24"/>
          <w:szCs w:val="24"/>
        </w:rPr>
        <w:t xml:space="preserve">and Plaintiff Caroline Allison </w:t>
      </w:r>
      <w:r w:rsidR="00E968B4">
        <w:rPr>
          <w:bCs/>
          <w:snapToGrid w:val="0"/>
          <w:sz w:val="24"/>
          <w:szCs w:val="24"/>
        </w:rPr>
        <w:t xml:space="preserve">(“Caroline”) </w:t>
      </w:r>
      <w:r w:rsidRPr="006D4A39">
        <w:rPr>
          <w:bCs/>
          <w:snapToGrid w:val="0"/>
          <w:sz w:val="24"/>
          <w:szCs w:val="24"/>
        </w:rPr>
        <w:t xml:space="preserve">file this </w:t>
      </w:r>
      <w:r>
        <w:rPr>
          <w:bCs/>
          <w:snapToGrid w:val="0"/>
          <w:sz w:val="24"/>
          <w:szCs w:val="24"/>
        </w:rPr>
        <w:t xml:space="preserve">Motion for New Trial </w:t>
      </w:r>
      <w:r w:rsidRPr="00A64AF3">
        <w:rPr>
          <w:bCs/>
          <w:snapToGrid w:val="0"/>
          <w:sz w:val="24"/>
          <w:szCs w:val="24"/>
        </w:rPr>
        <w:t>and/or Motion to Modify Judgment and</w:t>
      </w:r>
      <w:r w:rsidR="003C1DBD">
        <w:rPr>
          <w:bCs/>
          <w:snapToGrid w:val="0"/>
          <w:sz w:val="24"/>
          <w:szCs w:val="24"/>
        </w:rPr>
        <w:t xml:space="preserve">, in support thereof, </w:t>
      </w:r>
      <w:r w:rsidRPr="00A64AF3">
        <w:rPr>
          <w:bCs/>
          <w:snapToGrid w:val="0"/>
          <w:sz w:val="24"/>
          <w:szCs w:val="24"/>
        </w:rPr>
        <w:t>show the following:</w:t>
      </w:r>
    </w:p>
    <w:p w14:paraId="10E4F6D6" w14:textId="77777777" w:rsidR="00A64AF3" w:rsidRPr="00A64AF3" w:rsidRDefault="00A64AF3" w:rsidP="00A64AF3">
      <w:pPr>
        <w:pStyle w:val="ListParagraph"/>
        <w:widowControl w:val="0"/>
        <w:numPr>
          <w:ilvl w:val="0"/>
          <w:numId w:val="1"/>
        </w:numPr>
        <w:rPr>
          <w:b/>
          <w:bCs/>
          <w:i/>
          <w:iCs/>
          <w:sz w:val="24"/>
          <w:szCs w:val="24"/>
        </w:rPr>
      </w:pPr>
      <w:r w:rsidRPr="00A64AF3">
        <w:rPr>
          <w:b/>
          <w:bCs/>
          <w:i/>
          <w:iCs/>
          <w:sz w:val="24"/>
          <w:szCs w:val="24"/>
        </w:rPr>
        <w:t>This motion is timely.</w:t>
      </w:r>
    </w:p>
    <w:p w14:paraId="3ADE2B3C" w14:textId="77777777" w:rsidR="00A64AF3" w:rsidRPr="00A64AF3" w:rsidRDefault="00A64AF3" w:rsidP="00A64AF3">
      <w:pPr>
        <w:pStyle w:val="ListParagraph"/>
        <w:rPr>
          <w:b/>
          <w:bCs/>
          <w:i/>
          <w:iCs/>
          <w:sz w:val="24"/>
          <w:szCs w:val="24"/>
        </w:rPr>
      </w:pPr>
    </w:p>
    <w:p w14:paraId="782D7F2D" w14:textId="454C4446" w:rsidR="00A64AF3" w:rsidRPr="00A64AF3" w:rsidRDefault="00A64AF3" w:rsidP="00A64AF3">
      <w:pPr>
        <w:spacing w:line="480" w:lineRule="auto"/>
        <w:ind w:firstLine="720"/>
        <w:contextualSpacing/>
        <w:jc w:val="both"/>
        <w:rPr>
          <w:sz w:val="24"/>
          <w:szCs w:val="24"/>
        </w:rPr>
      </w:pPr>
      <w:r w:rsidRPr="00A64AF3">
        <w:rPr>
          <w:sz w:val="24"/>
          <w:szCs w:val="24"/>
        </w:rPr>
        <w:t xml:space="preserve">Rule 329b provides “A motion for new trial, if filed, shall be filed prior to or within thirty days after the judgment or other order complained of is signed.”  Tex. R. Civ. P. 329b(a).  “A motion to modify, correct, or reform a judgment (as distinguished from motion to correct the record of a judgment under Rule 316), if filed, shall be filed and determined within the time prescribed by this rule for a motion for new trial and shall extend the trial court's plenary power and the time for perfecting an appeal in the same manner as a motion for new trial. Each such motion shall be in writing and signed by the party or his attorney and shall specify the respects in which the judgment should be modified, corrected, or reformed.”  Tex. R. Civ. P. 329b(g).  </w:t>
      </w:r>
    </w:p>
    <w:p w14:paraId="0474CE26" w14:textId="287EEEC7" w:rsidR="00A64AF3" w:rsidRDefault="00A64AF3" w:rsidP="00A64AF3">
      <w:pPr>
        <w:spacing w:line="480" w:lineRule="auto"/>
        <w:ind w:firstLine="720"/>
        <w:contextualSpacing/>
        <w:jc w:val="both"/>
        <w:rPr>
          <w:sz w:val="24"/>
          <w:szCs w:val="24"/>
        </w:rPr>
      </w:pPr>
      <w:r w:rsidRPr="00A64AF3">
        <w:rPr>
          <w:sz w:val="24"/>
          <w:szCs w:val="24"/>
        </w:rPr>
        <w:t xml:space="preserve">The Court signed its final judgment </w:t>
      </w:r>
      <w:r>
        <w:rPr>
          <w:sz w:val="24"/>
          <w:szCs w:val="24"/>
        </w:rPr>
        <w:t xml:space="preserve">confirming the arbitrator’s award </w:t>
      </w:r>
      <w:r w:rsidRPr="00A64AF3">
        <w:rPr>
          <w:sz w:val="24"/>
          <w:szCs w:val="24"/>
        </w:rPr>
        <w:t xml:space="preserve">on </w:t>
      </w:r>
      <w:r>
        <w:rPr>
          <w:sz w:val="24"/>
          <w:szCs w:val="24"/>
        </w:rPr>
        <w:t>July 15, 2024</w:t>
      </w:r>
      <w:r w:rsidRPr="00A64AF3">
        <w:rPr>
          <w:sz w:val="24"/>
          <w:szCs w:val="24"/>
        </w:rPr>
        <w:t xml:space="preserve">.  </w:t>
      </w:r>
      <w:r w:rsidRPr="00A64AF3">
        <w:rPr>
          <w:i/>
          <w:iCs/>
          <w:sz w:val="24"/>
          <w:szCs w:val="24"/>
        </w:rPr>
        <w:t>See</w:t>
      </w:r>
      <w:r w:rsidRPr="00A64AF3">
        <w:rPr>
          <w:sz w:val="24"/>
          <w:szCs w:val="24"/>
        </w:rPr>
        <w:t xml:space="preserve"> “Final Judgment” signed </w:t>
      </w:r>
      <w:r>
        <w:rPr>
          <w:sz w:val="24"/>
          <w:szCs w:val="24"/>
        </w:rPr>
        <w:t>July 15</w:t>
      </w:r>
      <w:r w:rsidRPr="00A64AF3">
        <w:rPr>
          <w:sz w:val="24"/>
          <w:szCs w:val="24"/>
        </w:rPr>
        <w:t xml:space="preserve">, 2024.  Thirty days after </w:t>
      </w:r>
      <w:r>
        <w:rPr>
          <w:sz w:val="24"/>
          <w:szCs w:val="24"/>
        </w:rPr>
        <w:t>July 15</w:t>
      </w:r>
      <w:r w:rsidRPr="00A64AF3">
        <w:rPr>
          <w:sz w:val="24"/>
          <w:szCs w:val="24"/>
        </w:rPr>
        <w:t xml:space="preserve">, </w:t>
      </w:r>
      <w:proofErr w:type="gramStart"/>
      <w:r w:rsidRPr="00A64AF3">
        <w:rPr>
          <w:sz w:val="24"/>
          <w:szCs w:val="24"/>
        </w:rPr>
        <w:t>2024</w:t>
      </w:r>
      <w:proofErr w:type="gramEnd"/>
      <w:r w:rsidRPr="00A64AF3">
        <w:rPr>
          <w:sz w:val="24"/>
          <w:szCs w:val="24"/>
        </w:rPr>
        <w:t xml:space="preserve"> </w:t>
      </w:r>
      <w:r>
        <w:rPr>
          <w:sz w:val="24"/>
          <w:szCs w:val="24"/>
        </w:rPr>
        <w:t xml:space="preserve">is Wednesday, August </w:t>
      </w:r>
      <w:r>
        <w:rPr>
          <w:sz w:val="24"/>
          <w:szCs w:val="24"/>
        </w:rPr>
        <w:lastRenderedPageBreak/>
        <w:t xml:space="preserve">14, 2024.  </w:t>
      </w:r>
      <w:r w:rsidRPr="00A64AF3">
        <w:rPr>
          <w:sz w:val="24"/>
          <w:szCs w:val="24"/>
        </w:rPr>
        <w:t xml:space="preserve">This motion is filed on </w:t>
      </w:r>
      <w:r>
        <w:rPr>
          <w:sz w:val="24"/>
          <w:szCs w:val="24"/>
        </w:rPr>
        <w:t xml:space="preserve">Wednesday, August 14, </w:t>
      </w:r>
      <w:proofErr w:type="gramStart"/>
      <w:r>
        <w:rPr>
          <w:sz w:val="24"/>
          <w:szCs w:val="24"/>
        </w:rPr>
        <w:t>2024</w:t>
      </w:r>
      <w:proofErr w:type="gramEnd"/>
      <w:r w:rsidRPr="00A64AF3">
        <w:rPr>
          <w:sz w:val="24"/>
          <w:szCs w:val="24"/>
        </w:rPr>
        <w:t xml:space="preserve"> and is timely.  Tex. R. Civ. P. 329b(a), 329b(g).</w:t>
      </w:r>
    </w:p>
    <w:p w14:paraId="10789A9C" w14:textId="75B0F25A" w:rsidR="00703BD1" w:rsidRPr="003975C2" w:rsidRDefault="003975C2" w:rsidP="003975C2">
      <w:pPr>
        <w:pStyle w:val="ListParagraph"/>
        <w:widowControl w:val="0"/>
        <w:numPr>
          <w:ilvl w:val="0"/>
          <w:numId w:val="1"/>
        </w:numPr>
        <w:rPr>
          <w:b/>
          <w:bCs/>
          <w:i/>
          <w:iCs/>
          <w:sz w:val="24"/>
          <w:szCs w:val="24"/>
        </w:rPr>
      </w:pPr>
      <w:r>
        <w:rPr>
          <w:b/>
          <w:bCs/>
          <w:i/>
          <w:iCs/>
          <w:sz w:val="24"/>
          <w:szCs w:val="24"/>
        </w:rPr>
        <w:t xml:space="preserve">Standards of review. </w:t>
      </w:r>
    </w:p>
    <w:p w14:paraId="659D9AA7" w14:textId="77777777" w:rsidR="00703BD1" w:rsidRDefault="00703BD1" w:rsidP="00703BD1">
      <w:pPr>
        <w:jc w:val="both"/>
        <w:rPr>
          <w:b/>
          <w:bCs/>
          <w:i/>
          <w:iCs/>
          <w:sz w:val="24"/>
          <w:szCs w:val="24"/>
        </w:rPr>
      </w:pPr>
    </w:p>
    <w:p w14:paraId="08FDE760" w14:textId="11F4BD3C" w:rsidR="00B17B61" w:rsidRPr="00B17B61" w:rsidRDefault="00B17B61" w:rsidP="00B17B61">
      <w:pPr>
        <w:pStyle w:val="ListParagraph"/>
        <w:spacing w:line="480" w:lineRule="auto"/>
        <w:ind w:left="0" w:firstLine="720"/>
        <w:jc w:val="both"/>
        <w:rPr>
          <w:i/>
          <w:iCs/>
          <w:sz w:val="24"/>
          <w:szCs w:val="24"/>
        </w:rPr>
      </w:pPr>
      <w:r>
        <w:rPr>
          <w:i/>
          <w:iCs/>
          <w:sz w:val="24"/>
          <w:szCs w:val="24"/>
        </w:rPr>
        <w:t>New trial/modification standards</w:t>
      </w:r>
      <w:r w:rsidR="003C1DBD">
        <w:rPr>
          <w:i/>
          <w:iCs/>
          <w:sz w:val="24"/>
          <w:szCs w:val="24"/>
        </w:rPr>
        <w:t>.</w:t>
      </w:r>
    </w:p>
    <w:p w14:paraId="0E7AD164" w14:textId="18BF9683" w:rsidR="00B17B61" w:rsidRPr="00A64AF3" w:rsidRDefault="00B17B61" w:rsidP="00B17B61">
      <w:pPr>
        <w:pStyle w:val="ListParagraph"/>
        <w:spacing w:line="480" w:lineRule="auto"/>
        <w:ind w:left="0" w:firstLine="720"/>
        <w:jc w:val="both"/>
        <w:rPr>
          <w:sz w:val="24"/>
          <w:szCs w:val="24"/>
        </w:rPr>
      </w:pPr>
      <w:r w:rsidRPr="00A64AF3">
        <w:rPr>
          <w:sz w:val="24"/>
          <w:szCs w:val="24"/>
        </w:rPr>
        <w:t xml:space="preserve">A litigant may obtain an order granting a new trial and setting aside </w:t>
      </w:r>
      <w:r>
        <w:rPr>
          <w:sz w:val="24"/>
          <w:szCs w:val="24"/>
        </w:rPr>
        <w:t>a</w:t>
      </w:r>
      <w:r w:rsidRPr="00A64AF3">
        <w:rPr>
          <w:sz w:val="24"/>
          <w:szCs w:val="24"/>
        </w:rPr>
        <w:t xml:space="preserve"> judgment by filing a timely motion for </w:t>
      </w:r>
      <w:proofErr w:type="gramStart"/>
      <w:r w:rsidRPr="00A64AF3">
        <w:rPr>
          <w:sz w:val="24"/>
          <w:szCs w:val="24"/>
        </w:rPr>
        <w:t>new</w:t>
      </w:r>
      <w:proofErr w:type="gramEnd"/>
      <w:r w:rsidRPr="00A64AF3">
        <w:rPr>
          <w:sz w:val="24"/>
          <w:szCs w:val="24"/>
        </w:rPr>
        <w:t xml:space="preserve"> trial and showing good cause for the relief. </w:t>
      </w:r>
      <w:r w:rsidRPr="00A64AF3">
        <w:rPr>
          <w:i/>
          <w:sz w:val="24"/>
          <w:szCs w:val="24"/>
        </w:rPr>
        <w:t xml:space="preserve">See </w:t>
      </w:r>
      <w:r w:rsidRPr="00A64AF3">
        <w:rPr>
          <w:sz w:val="24"/>
          <w:szCs w:val="24"/>
        </w:rPr>
        <w:t xml:space="preserve">Tex. R. Civ. P. 320.  To show good cause, the movant must demonstrate that the error complained of affected, or might reasonably have affected, the result.  </w:t>
      </w:r>
      <w:r w:rsidRPr="00A64AF3">
        <w:rPr>
          <w:i/>
          <w:sz w:val="24"/>
          <w:szCs w:val="24"/>
        </w:rPr>
        <w:t>See Glasscock v. Bryant,</w:t>
      </w:r>
      <w:r w:rsidRPr="00A64AF3">
        <w:rPr>
          <w:sz w:val="24"/>
          <w:szCs w:val="24"/>
        </w:rPr>
        <w:t xml:space="preserve"> 185 S.W.2d 595, 600 (Tex. Civ. App.—El Paso 1944, writ ref’d </w:t>
      </w:r>
      <w:proofErr w:type="spellStart"/>
      <w:r w:rsidRPr="00A64AF3">
        <w:rPr>
          <w:sz w:val="24"/>
          <w:szCs w:val="24"/>
        </w:rPr>
        <w:t>w.o.m</w:t>
      </w:r>
      <w:proofErr w:type="spellEnd"/>
      <w:r w:rsidRPr="00A64AF3">
        <w:rPr>
          <w:sz w:val="24"/>
          <w:szCs w:val="24"/>
        </w:rPr>
        <w:t xml:space="preserve">.).  </w:t>
      </w:r>
    </w:p>
    <w:p w14:paraId="5D444C9B" w14:textId="750C63C9" w:rsidR="0013145C" w:rsidRPr="00B17B61" w:rsidRDefault="00B17B61" w:rsidP="00E968B4">
      <w:pPr>
        <w:spacing w:line="480" w:lineRule="auto"/>
        <w:ind w:firstLine="720"/>
        <w:jc w:val="both"/>
        <w:rPr>
          <w:i/>
          <w:iCs/>
          <w:sz w:val="24"/>
          <w:szCs w:val="24"/>
        </w:rPr>
      </w:pPr>
      <w:r>
        <w:rPr>
          <w:i/>
          <w:iCs/>
          <w:sz w:val="24"/>
          <w:szCs w:val="24"/>
        </w:rPr>
        <w:t>Vacatur/modification of arbitral award standards</w:t>
      </w:r>
      <w:r w:rsidR="003C1DBD">
        <w:rPr>
          <w:i/>
          <w:iCs/>
          <w:sz w:val="24"/>
          <w:szCs w:val="24"/>
        </w:rPr>
        <w:t>.</w:t>
      </w:r>
    </w:p>
    <w:p w14:paraId="22D45CE8" w14:textId="0AE43231" w:rsidR="00703BD1" w:rsidRDefault="0013145C" w:rsidP="00E968B4">
      <w:pPr>
        <w:spacing w:line="480" w:lineRule="auto"/>
        <w:ind w:firstLine="720"/>
        <w:jc w:val="both"/>
        <w:rPr>
          <w:sz w:val="24"/>
          <w:szCs w:val="24"/>
        </w:rPr>
      </w:pPr>
      <w:r>
        <w:rPr>
          <w:sz w:val="24"/>
          <w:szCs w:val="24"/>
        </w:rPr>
        <w:t xml:space="preserve">While </w:t>
      </w:r>
      <w:r w:rsidR="00157E50">
        <w:rPr>
          <w:sz w:val="24"/>
          <w:szCs w:val="24"/>
        </w:rPr>
        <w:t xml:space="preserve">Texas </w:t>
      </w:r>
      <w:r w:rsidR="00157E50" w:rsidRPr="00703BD1">
        <w:rPr>
          <w:sz w:val="24"/>
          <w:szCs w:val="24"/>
        </w:rPr>
        <w:t xml:space="preserve">favors arbitration and judicial review </w:t>
      </w:r>
      <w:r>
        <w:rPr>
          <w:sz w:val="24"/>
          <w:szCs w:val="24"/>
        </w:rPr>
        <w:t xml:space="preserve">of arbitration awards is </w:t>
      </w:r>
      <w:r w:rsidR="00157E50" w:rsidRPr="00703BD1">
        <w:rPr>
          <w:sz w:val="24"/>
          <w:szCs w:val="24"/>
        </w:rPr>
        <w:t>narrow</w:t>
      </w:r>
      <w:r>
        <w:rPr>
          <w:sz w:val="24"/>
          <w:szCs w:val="24"/>
        </w:rPr>
        <w:t xml:space="preserve"> (</w:t>
      </w:r>
      <w:r>
        <w:rPr>
          <w:i/>
          <w:iCs/>
          <w:sz w:val="24"/>
          <w:szCs w:val="24"/>
        </w:rPr>
        <w:t>se</w:t>
      </w:r>
      <w:r w:rsidR="00157E50">
        <w:rPr>
          <w:i/>
          <w:iCs/>
          <w:sz w:val="24"/>
          <w:szCs w:val="24"/>
        </w:rPr>
        <w:t>e</w:t>
      </w:r>
      <w:r w:rsidR="00157E50" w:rsidRPr="00703BD1">
        <w:rPr>
          <w:sz w:val="24"/>
          <w:szCs w:val="24"/>
        </w:rPr>
        <w:t xml:space="preserve"> </w:t>
      </w:r>
      <w:r w:rsidR="00157E50" w:rsidRPr="00703BD1">
        <w:rPr>
          <w:i/>
          <w:iCs/>
          <w:sz w:val="24"/>
          <w:szCs w:val="24"/>
        </w:rPr>
        <w:t xml:space="preserve">E. Tex. </w:t>
      </w:r>
      <w:proofErr w:type="gramStart"/>
      <w:r w:rsidR="00157E50" w:rsidRPr="00703BD1">
        <w:rPr>
          <w:i/>
          <w:iCs/>
          <w:sz w:val="24"/>
          <w:szCs w:val="24"/>
        </w:rPr>
        <w:t>Salt Water</w:t>
      </w:r>
      <w:proofErr w:type="gramEnd"/>
      <w:r w:rsidR="00157E50" w:rsidRPr="00703BD1">
        <w:rPr>
          <w:i/>
          <w:iCs/>
          <w:sz w:val="24"/>
          <w:szCs w:val="24"/>
        </w:rPr>
        <w:t xml:space="preserve"> Disposal Co. v. Werline</w:t>
      </w:r>
      <w:r w:rsidR="00157E50" w:rsidRPr="00703BD1">
        <w:rPr>
          <w:sz w:val="24"/>
          <w:szCs w:val="24"/>
        </w:rPr>
        <w:t>, 307 S.W.3d 267, 271 (Tex. 2010)</w:t>
      </w:r>
      <w:r>
        <w:rPr>
          <w:sz w:val="24"/>
          <w:szCs w:val="24"/>
        </w:rPr>
        <w:t xml:space="preserve">), </w:t>
      </w:r>
      <w:r w:rsidR="00157E50">
        <w:rPr>
          <w:sz w:val="24"/>
          <w:szCs w:val="24"/>
        </w:rPr>
        <w:t>u</w:t>
      </w:r>
      <w:r w:rsidR="00157E50" w:rsidRPr="00157E50">
        <w:rPr>
          <w:sz w:val="24"/>
          <w:szCs w:val="24"/>
        </w:rPr>
        <w:t xml:space="preserve">nder the </w:t>
      </w:r>
      <w:r w:rsidR="00E968B4">
        <w:rPr>
          <w:sz w:val="24"/>
          <w:szCs w:val="24"/>
        </w:rPr>
        <w:t xml:space="preserve">Federal Arbitration Act (“FAA”) and </w:t>
      </w:r>
      <w:r w:rsidR="00157E50" w:rsidRPr="00157E50">
        <w:rPr>
          <w:sz w:val="24"/>
          <w:szCs w:val="24"/>
        </w:rPr>
        <w:t>Texas General Arbitration Act</w:t>
      </w:r>
      <w:r w:rsidR="00157E50">
        <w:rPr>
          <w:sz w:val="24"/>
          <w:szCs w:val="24"/>
        </w:rPr>
        <w:t xml:space="preserve"> (“TGAA”)</w:t>
      </w:r>
      <w:r w:rsidR="00157E50" w:rsidRPr="00157E50">
        <w:rPr>
          <w:sz w:val="24"/>
          <w:szCs w:val="24"/>
        </w:rPr>
        <w:t xml:space="preserve">, a reviewing court is authorized to vacate or modify an </w:t>
      </w:r>
      <w:r w:rsidR="0070079C">
        <w:rPr>
          <w:sz w:val="24"/>
          <w:szCs w:val="24"/>
        </w:rPr>
        <w:t xml:space="preserve">improper </w:t>
      </w:r>
      <w:r w:rsidR="00157E50" w:rsidRPr="00157E50">
        <w:rPr>
          <w:sz w:val="24"/>
          <w:szCs w:val="24"/>
        </w:rPr>
        <w:t>arbitration award</w:t>
      </w:r>
      <w:r w:rsidR="00157E50">
        <w:rPr>
          <w:sz w:val="24"/>
          <w:szCs w:val="24"/>
        </w:rPr>
        <w:t xml:space="preserve">.  </w:t>
      </w:r>
      <w:r w:rsidR="00157E50" w:rsidRPr="00157E50">
        <w:rPr>
          <w:i/>
          <w:iCs/>
          <w:sz w:val="24"/>
          <w:szCs w:val="24"/>
        </w:rPr>
        <w:t>Turner v. Package Express, L.P</w:t>
      </w:r>
      <w:r w:rsidR="00157E50" w:rsidRPr="00157E50">
        <w:rPr>
          <w:sz w:val="24"/>
          <w:szCs w:val="24"/>
        </w:rPr>
        <w:t>., No. 14-12-00241-CV, 2013 Tex. App. LEXIS 6055, at *12 (Tex. App.—Houston [14th Dist.] May 16, 2013, no pet.)</w:t>
      </w:r>
      <w:r w:rsidR="00157E50">
        <w:rPr>
          <w:sz w:val="24"/>
          <w:szCs w:val="24"/>
        </w:rPr>
        <w:t xml:space="preserve">; </w:t>
      </w:r>
      <w:r w:rsidR="00E968B4" w:rsidRPr="00E968B4">
        <w:rPr>
          <w:i/>
          <w:iCs/>
          <w:sz w:val="24"/>
          <w:szCs w:val="24"/>
        </w:rPr>
        <w:t>Las Palmas Med. Ctr. v. Moore</w:t>
      </w:r>
      <w:r w:rsidR="00E968B4" w:rsidRPr="00E968B4">
        <w:rPr>
          <w:sz w:val="24"/>
          <w:szCs w:val="24"/>
        </w:rPr>
        <w:t xml:space="preserve">, 349 S.W.3d 57, 64 (Tex. App.—El Paso 2010, </w:t>
      </w:r>
      <w:r w:rsidR="00E968B4" w:rsidRPr="00E968B4">
        <w:rPr>
          <w:sz w:val="24"/>
          <w:szCs w:val="24"/>
        </w:rPr>
        <w:lastRenderedPageBreak/>
        <w:t>no pet.)</w:t>
      </w:r>
      <w:r w:rsidR="00E968B4">
        <w:rPr>
          <w:sz w:val="24"/>
          <w:szCs w:val="24"/>
        </w:rPr>
        <w:t>; 9 U.S.C. §§ 10-11;</w:t>
      </w:r>
      <w:r w:rsidR="008F3FF6">
        <w:rPr>
          <w:rStyle w:val="FootnoteReference"/>
          <w:sz w:val="24"/>
          <w:szCs w:val="24"/>
        </w:rPr>
        <w:footnoteReference w:id="1"/>
      </w:r>
      <w:r w:rsidR="00E968B4">
        <w:rPr>
          <w:sz w:val="24"/>
          <w:szCs w:val="24"/>
        </w:rPr>
        <w:t xml:space="preserve"> </w:t>
      </w:r>
      <w:r w:rsidR="00157E50">
        <w:rPr>
          <w:sz w:val="24"/>
          <w:szCs w:val="24"/>
        </w:rPr>
        <w:t xml:space="preserve">Tex. Civ. </w:t>
      </w:r>
      <w:proofErr w:type="spellStart"/>
      <w:r w:rsidR="00157E50">
        <w:rPr>
          <w:sz w:val="24"/>
          <w:szCs w:val="24"/>
        </w:rPr>
        <w:t>Prac</w:t>
      </w:r>
      <w:proofErr w:type="spellEnd"/>
      <w:r w:rsidR="00157E50">
        <w:rPr>
          <w:sz w:val="24"/>
          <w:szCs w:val="24"/>
        </w:rPr>
        <w:t>. &amp; Rem. Code § 171.088.</w:t>
      </w:r>
      <w:r w:rsidR="008F3FF6">
        <w:rPr>
          <w:rStyle w:val="FootnoteReference"/>
          <w:sz w:val="24"/>
          <w:szCs w:val="24"/>
        </w:rPr>
        <w:footnoteReference w:id="2"/>
      </w:r>
      <w:r w:rsidR="00157E50">
        <w:rPr>
          <w:sz w:val="24"/>
          <w:szCs w:val="24"/>
        </w:rPr>
        <w:t xml:space="preserve">  </w:t>
      </w:r>
      <w:r w:rsidR="00E968B4">
        <w:rPr>
          <w:sz w:val="24"/>
          <w:szCs w:val="24"/>
        </w:rPr>
        <w:t xml:space="preserve">  </w:t>
      </w:r>
      <w:r w:rsidR="00703BD1" w:rsidRPr="00703BD1">
        <w:rPr>
          <w:sz w:val="24"/>
          <w:szCs w:val="24"/>
        </w:rPr>
        <w:t xml:space="preserve">A party seeking to vacate </w:t>
      </w:r>
      <w:r w:rsidR="00E968B4">
        <w:rPr>
          <w:sz w:val="24"/>
          <w:szCs w:val="24"/>
        </w:rPr>
        <w:t xml:space="preserve">or modify </w:t>
      </w:r>
      <w:r w:rsidR="00703BD1" w:rsidRPr="00703BD1">
        <w:rPr>
          <w:sz w:val="24"/>
          <w:szCs w:val="24"/>
        </w:rPr>
        <w:t>an arbitration award bears the burden of presenting a complete record that establishes grounds for vacatur</w:t>
      </w:r>
      <w:r w:rsidR="00E968B4">
        <w:rPr>
          <w:sz w:val="24"/>
          <w:szCs w:val="24"/>
        </w:rPr>
        <w:t xml:space="preserve"> or modification</w:t>
      </w:r>
      <w:r w:rsidR="00703BD1" w:rsidRPr="00703BD1">
        <w:rPr>
          <w:sz w:val="24"/>
          <w:szCs w:val="24"/>
        </w:rPr>
        <w:t xml:space="preserve">. </w:t>
      </w:r>
      <w:r w:rsidR="00703BD1" w:rsidRPr="00703BD1">
        <w:rPr>
          <w:i/>
          <w:iCs/>
          <w:sz w:val="24"/>
          <w:szCs w:val="24"/>
        </w:rPr>
        <w:t>Amoco D.T. Co. v. Occidental Petroleum Corp</w:t>
      </w:r>
      <w:r w:rsidR="00703BD1" w:rsidRPr="00703BD1">
        <w:rPr>
          <w:sz w:val="24"/>
          <w:szCs w:val="24"/>
        </w:rPr>
        <w:t xml:space="preserve">., 343 S.W.3d </w:t>
      </w:r>
      <w:r w:rsidR="00703BD1" w:rsidRPr="00703BD1">
        <w:rPr>
          <w:sz w:val="24"/>
          <w:szCs w:val="24"/>
        </w:rPr>
        <w:lastRenderedPageBreak/>
        <w:t>837, 841 (Tex. App.—Houston [14th Dist.] 2011, no pet.).</w:t>
      </w:r>
      <w:r>
        <w:rPr>
          <w:sz w:val="24"/>
          <w:szCs w:val="24"/>
        </w:rPr>
        <w:t xml:space="preserve">  </w:t>
      </w:r>
      <w:r w:rsidRPr="0013145C">
        <w:rPr>
          <w:sz w:val="24"/>
          <w:szCs w:val="24"/>
        </w:rPr>
        <w:t>Rich</w:t>
      </w:r>
      <w:r w:rsidR="003C1DBD">
        <w:rPr>
          <w:sz w:val="24"/>
          <w:szCs w:val="24"/>
        </w:rPr>
        <w:t>ard</w:t>
      </w:r>
      <w:r w:rsidRPr="0013145C">
        <w:rPr>
          <w:sz w:val="24"/>
          <w:szCs w:val="24"/>
        </w:rPr>
        <w:t xml:space="preserve"> and Allison filed a complete record from the arbitration with their Response to Defendants’ Original and Supplemental Motion to Confirm, Enforce, and Enter Judgment On Arbitration Awards, and Motion to Vacate Or Alternatively Modify Or Correct Awards</w:t>
      </w:r>
      <w:r w:rsidR="003C1DBD">
        <w:rPr>
          <w:sz w:val="24"/>
          <w:szCs w:val="24"/>
        </w:rPr>
        <w:t xml:space="preserve"> (“Motion to Vacate”)</w:t>
      </w:r>
      <w:r w:rsidRPr="0013145C">
        <w:rPr>
          <w:sz w:val="24"/>
          <w:szCs w:val="24"/>
        </w:rPr>
        <w:t>, filed June 10, 2024</w:t>
      </w:r>
      <w:r>
        <w:rPr>
          <w:sz w:val="24"/>
          <w:szCs w:val="24"/>
        </w:rPr>
        <w:t>, and the record demonstrates good cause to vacate or modify the arbitration award</w:t>
      </w:r>
      <w:r w:rsidR="003C1DBD">
        <w:rPr>
          <w:sz w:val="24"/>
          <w:szCs w:val="24"/>
        </w:rPr>
        <w:t xml:space="preserve">s as well as </w:t>
      </w:r>
      <w:r>
        <w:rPr>
          <w:sz w:val="24"/>
          <w:szCs w:val="24"/>
        </w:rPr>
        <w:t>the judgment confirming the award</w:t>
      </w:r>
      <w:r w:rsidR="003C1DBD">
        <w:rPr>
          <w:sz w:val="24"/>
          <w:szCs w:val="24"/>
        </w:rPr>
        <w:t>s</w:t>
      </w:r>
      <w:r>
        <w:rPr>
          <w:sz w:val="24"/>
          <w:szCs w:val="24"/>
        </w:rPr>
        <w:t xml:space="preserve"> signed July 15, 2024.</w:t>
      </w:r>
    </w:p>
    <w:p w14:paraId="544B2C9B" w14:textId="72D72681" w:rsidR="00695BDE" w:rsidRDefault="00695BDE" w:rsidP="00695BDE">
      <w:pPr>
        <w:pStyle w:val="ListParagraph"/>
        <w:numPr>
          <w:ilvl w:val="0"/>
          <w:numId w:val="1"/>
        </w:numPr>
        <w:jc w:val="both"/>
        <w:rPr>
          <w:b/>
          <w:bCs/>
          <w:i/>
          <w:iCs/>
          <w:sz w:val="24"/>
          <w:szCs w:val="24"/>
        </w:rPr>
      </w:pPr>
      <w:r w:rsidRPr="00695BDE">
        <w:rPr>
          <w:b/>
          <w:bCs/>
          <w:i/>
          <w:iCs/>
          <w:sz w:val="24"/>
          <w:szCs w:val="24"/>
        </w:rPr>
        <w:t xml:space="preserve">There Is Good Cause For A New Trial </w:t>
      </w:r>
      <w:r>
        <w:rPr>
          <w:b/>
          <w:bCs/>
          <w:i/>
          <w:iCs/>
          <w:sz w:val="24"/>
          <w:szCs w:val="24"/>
        </w:rPr>
        <w:t xml:space="preserve">Or To Modify The Judgment </w:t>
      </w:r>
      <w:r w:rsidRPr="00695BDE">
        <w:rPr>
          <w:b/>
          <w:bCs/>
          <w:i/>
          <w:iCs/>
          <w:sz w:val="24"/>
          <w:szCs w:val="24"/>
        </w:rPr>
        <w:t>Because The Arbitrator Exceeded Her Authority</w:t>
      </w:r>
      <w:r>
        <w:rPr>
          <w:b/>
          <w:bCs/>
          <w:i/>
          <w:iCs/>
          <w:sz w:val="24"/>
          <w:szCs w:val="24"/>
        </w:rPr>
        <w:t xml:space="preserve"> By Ordering Non-Parties To The Arbitration To “Liquidate Trust Assets”</w:t>
      </w:r>
      <w:r w:rsidR="00E62629">
        <w:rPr>
          <w:b/>
          <w:bCs/>
          <w:i/>
          <w:iCs/>
          <w:sz w:val="24"/>
          <w:szCs w:val="24"/>
        </w:rPr>
        <w:t xml:space="preserve"> And The Court Erred In Confirming The Award. </w:t>
      </w:r>
    </w:p>
    <w:p w14:paraId="0DC5537A" w14:textId="77777777" w:rsidR="00703BD1" w:rsidRDefault="00703BD1" w:rsidP="00703BD1">
      <w:pPr>
        <w:ind w:left="360"/>
        <w:jc w:val="both"/>
        <w:rPr>
          <w:b/>
          <w:bCs/>
          <w:i/>
          <w:iCs/>
          <w:sz w:val="24"/>
          <w:szCs w:val="24"/>
        </w:rPr>
      </w:pPr>
    </w:p>
    <w:p w14:paraId="4FC099F3" w14:textId="07641ADC" w:rsidR="00E62629" w:rsidRDefault="00E62629" w:rsidP="00703BD1">
      <w:pPr>
        <w:ind w:left="360"/>
        <w:jc w:val="both"/>
        <w:rPr>
          <w:sz w:val="24"/>
          <w:szCs w:val="24"/>
        </w:rPr>
      </w:pPr>
      <w:r>
        <w:rPr>
          <w:sz w:val="24"/>
          <w:szCs w:val="24"/>
        </w:rPr>
        <w:t>Paragraph 10 and 11 of the Final Judgment provide:</w:t>
      </w:r>
    </w:p>
    <w:p w14:paraId="74ABB59D" w14:textId="77777777" w:rsidR="00E62629" w:rsidRDefault="00E62629" w:rsidP="00703BD1">
      <w:pPr>
        <w:ind w:left="360"/>
        <w:jc w:val="both"/>
        <w:rPr>
          <w:sz w:val="24"/>
          <w:szCs w:val="24"/>
        </w:rPr>
      </w:pPr>
    </w:p>
    <w:p w14:paraId="4D33455A" w14:textId="4204F4B6" w:rsidR="00E62629" w:rsidRDefault="00E62629" w:rsidP="00703BD1">
      <w:pPr>
        <w:ind w:left="360"/>
        <w:jc w:val="both"/>
        <w:rPr>
          <w:sz w:val="24"/>
          <w:szCs w:val="24"/>
        </w:rPr>
      </w:pPr>
      <w:r>
        <w:rPr>
          <w:sz w:val="24"/>
          <w:szCs w:val="24"/>
        </w:rPr>
        <w:t>10.</w:t>
      </w:r>
      <w:r>
        <w:rPr>
          <w:sz w:val="24"/>
          <w:szCs w:val="24"/>
        </w:rPr>
        <w:tab/>
        <w:t xml:space="preserve">Mr. Allison and Ms. Allison shall, within thirty days after entry of the Final Award, (1) direct the trustee(s) of the Allison Family Trust to liquidate sufficient trust assets to pay the Final Award and all </w:t>
      </w:r>
      <w:r w:rsidR="003C1DBD">
        <w:rPr>
          <w:sz w:val="24"/>
          <w:szCs w:val="24"/>
        </w:rPr>
        <w:t>accrued</w:t>
      </w:r>
      <w:r>
        <w:rPr>
          <w:sz w:val="24"/>
          <w:szCs w:val="24"/>
        </w:rPr>
        <w:t xml:space="preserve"> interest in full.  Pursuant to the MSA and the documents signed to effectuate the MSA, Mr. Allison and Ms. Allison have the legal right – and the legal obligation – to make this direction to the trustee(s) of the Family Trust.  Mr. Allison and Ms. Allsion are hereby ordered to do so.</w:t>
      </w:r>
    </w:p>
    <w:p w14:paraId="5BB43B70" w14:textId="77777777" w:rsidR="00E62629" w:rsidRPr="00E62629" w:rsidRDefault="00E62629" w:rsidP="00703BD1">
      <w:pPr>
        <w:ind w:left="360"/>
        <w:jc w:val="both"/>
        <w:rPr>
          <w:sz w:val="24"/>
          <w:szCs w:val="24"/>
        </w:rPr>
      </w:pPr>
    </w:p>
    <w:p w14:paraId="101C18E5" w14:textId="79B86C95" w:rsidR="00E62629" w:rsidRDefault="00E62629" w:rsidP="00E62629">
      <w:pPr>
        <w:ind w:left="360"/>
        <w:jc w:val="both"/>
        <w:rPr>
          <w:sz w:val="24"/>
          <w:szCs w:val="24"/>
        </w:rPr>
      </w:pPr>
      <w:r>
        <w:rPr>
          <w:sz w:val="24"/>
          <w:szCs w:val="24"/>
        </w:rPr>
        <w:t xml:space="preserve">11. The “freeze” on the Charles Schwab One account of the </w:t>
      </w:r>
      <w:proofErr w:type="spellStart"/>
      <w:r w:rsidRPr="00E62629">
        <w:rPr>
          <w:sz w:val="24"/>
          <w:szCs w:val="24"/>
        </w:rPr>
        <w:t>Minaki</w:t>
      </w:r>
      <w:proofErr w:type="spellEnd"/>
      <w:r w:rsidRPr="00E62629">
        <w:rPr>
          <w:sz w:val="24"/>
          <w:szCs w:val="24"/>
        </w:rPr>
        <w:t xml:space="preserve"> Limited Partnership referenced in the arbitrator’s September 14, </w:t>
      </w:r>
      <w:proofErr w:type="gramStart"/>
      <w:r w:rsidRPr="00E62629">
        <w:rPr>
          <w:sz w:val="24"/>
          <w:szCs w:val="24"/>
        </w:rPr>
        <w:t>2023</w:t>
      </w:r>
      <w:proofErr w:type="gramEnd"/>
      <w:r w:rsidRPr="00E62629">
        <w:rPr>
          <w:sz w:val="24"/>
          <w:szCs w:val="24"/>
        </w:rPr>
        <w:t xml:space="preserve"> order (attached to the Interim Award as Exhibit A) shall continue in full force and effect until this Final Judgment and all accrued interest have been paid in full.  In order to ensure compliance with this Final Judgment, and to prevent any withdrawals or disbursements in violation of this Final Judgment, Mr. Allison and Ms. Allison are both ordered (1) to provide to appropriate personnel at Charles Schwab One a copy of this Final Judgment with all exhibits, and (2) to provide to Defendants’ counsel, Joseph R. Little, each monthly statement for the Charles Schwab One account within five business days of the date of each statement, until this Final Judgment and all accrued interest have been paid in full.</w:t>
      </w:r>
    </w:p>
    <w:p w14:paraId="04AD6AA9" w14:textId="77777777" w:rsidR="00E62629" w:rsidRDefault="00E62629" w:rsidP="00E62629">
      <w:pPr>
        <w:jc w:val="both"/>
        <w:rPr>
          <w:sz w:val="24"/>
          <w:szCs w:val="24"/>
        </w:rPr>
      </w:pPr>
    </w:p>
    <w:p w14:paraId="6494D878" w14:textId="7131E0D1" w:rsidR="00E62629" w:rsidRDefault="00E62629" w:rsidP="00E62629">
      <w:pPr>
        <w:jc w:val="both"/>
        <w:rPr>
          <w:sz w:val="24"/>
          <w:szCs w:val="24"/>
        </w:rPr>
      </w:pPr>
      <w:r>
        <w:rPr>
          <w:sz w:val="24"/>
          <w:szCs w:val="24"/>
        </w:rPr>
        <w:t>Final Judgment, signed July 15, 2024.</w:t>
      </w:r>
    </w:p>
    <w:p w14:paraId="42013923" w14:textId="77777777" w:rsidR="00E62629" w:rsidRDefault="00E62629" w:rsidP="00E62629">
      <w:pPr>
        <w:jc w:val="both"/>
        <w:rPr>
          <w:sz w:val="24"/>
          <w:szCs w:val="24"/>
        </w:rPr>
      </w:pPr>
    </w:p>
    <w:p w14:paraId="322B790D" w14:textId="16B846AB" w:rsidR="00E62629" w:rsidRPr="00E62629" w:rsidRDefault="00E62629" w:rsidP="00E62629">
      <w:pPr>
        <w:spacing w:line="480" w:lineRule="auto"/>
        <w:ind w:firstLine="720"/>
        <w:jc w:val="both"/>
        <w:rPr>
          <w:bCs/>
          <w:snapToGrid w:val="0"/>
          <w:sz w:val="24"/>
          <w:szCs w:val="24"/>
        </w:rPr>
      </w:pPr>
      <w:r w:rsidRPr="00E62629">
        <w:rPr>
          <w:bCs/>
          <w:snapToGrid w:val="0"/>
          <w:sz w:val="24"/>
          <w:szCs w:val="24"/>
        </w:rPr>
        <w:t xml:space="preserve">These portions of the Final Judgment, and the arbitration award confirmed by the final judgment, </w:t>
      </w:r>
      <w:r>
        <w:rPr>
          <w:bCs/>
          <w:snapToGrid w:val="0"/>
          <w:sz w:val="24"/>
          <w:szCs w:val="24"/>
        </w:rPr>
        <w:t xml:space="preserve">demonstrate that the arbitrator exceeded her powers such that there is good cause—for the reasons noted below—to order a new trial or to modify the judgment.  Specifically, </w:t>
      </w:r>
    </w:p>
    <w:p w14:paraId="26B51B45" w14:textId="5AACF2B7" w:rsidR="00E62629" w:rsidRPr="008C01B4" w:rsidRDefault="00E62629" w:rsidP="00E62629">
      <w:pPr>
        <w:pStyle w:val="ListParagraph"/>
        <w:numPr>
          <w:ilvl w:val="0"/>
          <w:numId w:val="4"/>
        </w:numPr>
        <w:ind w:right="720"/>
        <w:jc w:val="both"/>
        <w:rPr>
          <w:bCs/>
          <w:snapToGrid w:val="0"/>
          <w:sz w:val="24"/>
          <w:szCs w:val="24"/>
        </w:rPr>
      </w:pPr>
      <w:r w:rsidRPr="000946F9">
        <w:rPr>
          <w:bCs/>
          <w:snapToGrid w:val="0"/>
          <w:sz w:val="24"/>
          <w:szCs w:val="24"/>
        </w:rPr>
        <w:t xml:space="preserve">Neither </w:t>
      </w:r>
      <w:proofErr w:type="spellStart"/>
      <w:r w:rsidRPr="000946F9">
        <w:rPr>
          <w:bCs/>
          <w:snapToGrid w:val="0"/>
          <w:sz w:val="24"/>
          <w:szCs w:val="24"/>
        </w:rPr>
        <w:t>Minaki</w:t>
      </w:r>
      <w:proofErr w:type="spellEnd"/>
      <w:r w:rsidRPr="000946F9">
        <w:rPr>
          <w:bCs/>
          <w:snapToGrid w:val="0"/>
          <w:sz w:val="24"/>
          <w:szCs w:val="24"/>
        </w:rPr>
        <w:t xml:space="preserve"> nor the Allison Family Trust (or its trustees) were parties to the arbitration agreement. </w:t>
      </w:r>
      <w:r w:rsidRPr="00450EE6">
        <w:rPr>
          <w:b/>
          <w:i/>
          <w:iCs/>
          <w:snapToGrid w:val="0"/>
          <w:sz w:val="24"/>
          <w:szCs w:val="24"/>
        </w:rPr>
        <w:t xml:space="preserve">An arbitrator cannot </w:t>
      </w:r>
      <w:r w:rsidR="00CA7101">
        <w:rPr>
          <w:b/>
          <w:i/>
          <w:iCs/>
          <w:snapToGrid w:val="0"/>
          <w:sz w:val="24"/>
          <w:szCs w:val="24"/>
        </w:rPr>
        <w:t>render</w:t>
      </w:r>
      <w:r w:rsidRPr="00450EE6">
        <w:rPr>
          <w:b/>
          <w:i/>
          <w:iCs/>
          <w:snapToGrid w:val="0"/>
          <w:sz w:val="24"/>
          <w:szCs w:val="24"/>
        </w:rPr>
        <w:t xml:space="preserve"> an award against a party that </w:t>
      </w:r>
      <w:r w:rsidRPr="00450EE6">
        <w:rPr>
          <w:b/>
          <w:i/>
          <w:iCs/>
          <w:snapToGrid w:val="0"/>
          <w:sz w:val="24"/>
          <w:szCs w:val="24"/>
        </w:rPr>
        <w:lastRenderedPageBreak/>
        <w:t>is not bound by the arbitration agreement</w:t>
      </w:r>
      <w:r w:rsidRPr="000946F9">
        <w:rPr>
          <w:bCs/>
          <w:snapToGrid w:val="0"/>
          <w:sz w:val="24"/>
          <w:szCs w:val="24"/>
        </w:rPr>
        <w:t xml:space="preserve">. </w:t>
      </w:r>
      <w:r w:rsidRPr="000946F9">
        <w:rPr>
          <w:i/>
          <w:iCs/>
          <w:sz w:val="24"/>
          <w:szCs w:val="24"/>
        </w:rPr>
        <w:t>Leshin v. Oliva</w:t>
      </w:r>
      <w:r w:rsidRPr="000946F9">
        <w:rPr>
          <w:sz w:val="24"/>
          <w:szCs w:val="24"/>
        </w:rPr>
        <w:t>, No. 04-14-00657-CV, 2015 Tex. App. LEXIS 7802, at *22 (Tex. App.—San Antonio July 29, 2015, no pet.) (arbitrator exceeded his powers by implicitly determining that individual who signed arbitration agreement in trustee capacity “was a party to the arbitration agreement, and thereby bound by any award in his individual capacity.”)</w:t>
      </w:r>
      <w:r>
        <w:rPr>
          <w:sz w:val="24"/>
          <w:szCs w:val="24"/>
        </w:rPr>
        <w:t>. Despite this, the arbitrator froze Minaki’s account, which is owned by the Allison Family Trust</w:t>
      </w:r>
      <w:r w:rsidR="00CA7101">
        <w:rPr>
          <w:sz w:val="24"/>
          <w:szCs w:val="24"/>
        </w:rPr>
        <w:t>, not Richard or Caroline.</w:t>
      </w:r>
    </w:p>
    <w:p w14:paraId="0CE3F711" w14:textId="77777777" w:rsidR="00E62629" w:rsidRDefault="00E62629" w:rsidP="00E62629">
      <w:pPr>
        <w:ind w:right="720"/>
        <w:jc w:val="both"/>
        <w:rPr>
          <w:bCs/>
          <w:snapToGrid w:val="0"/>
          <w:sz w:val="24"/>
          <w:szCs w:val="24"/>
        </w:rPr>
      </w:pPr>
    </w:p>
    <w:p w14:paraId="208A0837" w14:textId="63D73156" w:rsidR="00E62629" w:rsidRDefault="00E62629" w:rsidP="00E62629">
      <w:pPr>
        <w:pStyle w:val="ListParagraph"/>
        <w:numPr>
          <w:ilvl w:val="0"/>
          <w:numId w:val="4"/>
        </w:numPr>
        <w:ind w:right="720"/>
        <w:jc w:val="both"/>
        <w:rPr>
          <w:bCs/>
          <w:snapToGrid w:val="0"/>
          <w:sz w:val="24"/>
          <w:szCs w:val="24"/>
        </w:rPr>
      </w:pPr>
      <w:r>
        <w:rPr>
          <w:bCs/>
          <w:snapToGrid w:val="0"/>
          <w:sz w:val="24"/>
          <w:szCs w:val="24"/>
        </w:rPr>
        <w:t xml:space="preserve">The mere fact that Richard or Caroline may have an arbitration agreement in their individual capacities does not mean that they have an arbitration agreement in their trustee capacities. </w:t>
      </w:r>
      <w:r w:rsidRPr="00450EE6">
        <w:rPr>
          <w:b/>
          <w:i/>
          <w:iCs/>
          <w:snapToGrid w:val="0"/>
          <w:sz w:val="24"/>
          <w:szCs w:val="24"/>
        </w:rPr>
        <w:t>An individual acting in an individual capacity is legally distinct from a person acting in a representative capacity.</w:t>
      </w:r>
      <w:r>
        <w:rPr>
          <w:bCs/>
          <w:snapToGrid w:val="0"/>
          <w:sz w:val="24"/>
          <w:szCs w:val="24"/>
        </w:rPr>
        <w:t xml:space="preserve"> </w:t>
      </w:r>
      <w:r>
        <w:rPr>
          <w:bCs/>
          <w:i/>
          <w:iCs/>
          <w:snapToGrid w:val="0"/>
          <w:sz w:val="24"/>
          <w:szCs w:val="24"/>
        </w:rPr>
        <w:t>Leshin v. Oliva</w:t>
      </w:r>
      <w:r>
        <w:rPr>
          <w:bCs/>
          <w:snapToGrid w:val="0"/>
          <w:sz w:val="24"/>
          <w:szCs w:val="24"/>
        </w:rPr>
        <w:t xml:space="preserve">, 2015 </w:t>
      </w:r>
      <w:proofErr w:type="spellStart"/>
      <w:r>
        <w:rPr>
          <w:bCs/>
          <w:snapToGrid w:val="0"/>
          <w:sz w:val="24"/>
          <w:szCs w:val="24"/>
        </w:rPr>
        <w:t>Tex.App</w:t>
      </w:r>
      <w:proofErr w:type="spellEnd"/>
      <w:r>
        <w:rPr>
          <w:bCs/>
          <w:snapToGrid w:val="0"/>
          <w:sz w:val="24"/>
          <w:szCs w:val="24"/>
        </w:rPr>
        <w:t>. LEXIS 7802 *22 (Tex.</w:t>
      </w:r>
      <w:r w:rsidR="00CA7101">
        <w:rPr>
          <w:bCs/>
          <w:snapToGrid w:val="0"/>
          <w:sz w:val="24"/>
          <w:szCs w:val="24"/>
        </w:rPr>
        <w:t xml:space="preserve"> </w:t>
      </w:r>
      <w:r>
        <w:rPr>
          <w:bCs/>
          <w:snapToGrid w:val="0"/>
          <w:sz w:val="24"/>
          <w:szCs w:val="24"/>
        </w:rPr>
        <w:t xml:space="preserve">App.—San Antonio 2015, no pet.)(arbitrator exceeded authority by determining that individual who signed arbitration agreement in trustee capacity was a party to the arbitration agreement in his individual capacity); </w:t>
      </w:r>
      <w:r>
        <w:rPr>
          <w:bCs/>
          <w:i/>
          <w:iCs/>
          <w:snapToGrid w:val="0"/>
          <w:sz w:val="24"/>
          <w:szCs w:val="24"/>
        </w:rPr>
        <w:t>In re Estate of Hendricks</w:t>
      </w:r>
      <w:r>
        <w:rPr>
          <w:bCs/>
          <w:snapToGrid w:val="0"/>
          <w:sz w:val="24"/>
          <w:szCs w:val="24"/>
        </w:rPr>
        <w:t xml:space="preserve">, 2002 </w:t>
      </w:r>
      <w:proofErr w:type="spellStart"/>
      <w:r>
        <w:rPr>
          <w:bCs/>
          <w:snapToGrid w:val="0"/>
          <w:sz w:val="24"/>
          <w:szCs w:val="24"/>
        </w:rPr>
        <w:t>Tex.App</w:t>
      </w:r>
      <w:proofErr w:type="spellEnd"/>
      <w:r>
        <w:rPr>
          <w:bCs/>
          <w:snapToGrid w:val="0"/>
          <w:sz w:val="24"/>
          <w:szCs w:val="24"/>
        </w:rPr>
        <w:t>. LEXIS 4560 at *1-3 (Tex.</w:t>
      </w:r>
      <w:r w:rsidR="00CA7101">
        <w:rPr>
          <w:bCs/>
          <w:snapToGrid w:val="0"/>
          <w:sz w:val="24"/>
          <w:szCs w:val="24"/>
        </w:rPr>
        <w:t xml:space="preserve"> </w:t>
      </w:r>
      <w:r>
        <w:rPr>
          <w:bCs/>
          <w:snapToGrid w:val="0"/>
          <w:sz w:val="24"/>
          <w:szCs w:val="24"/>
        </w:rPr>
        <w:t xml:space="preserve">App.—Dallas 2002, no pet.)(arbitration agreement with defendant in individual capacity did not bind individual in her capacity as executrix of estate to arbitrate estate claims). Nonetheless, the arbitrator froze the </w:t>
      </w:r>
      <w:proofErr w:type="spellStart"/>
      <w:r>
        <w:rPr>
          <w:bCs/>
          <w:snapToGrid w:val="0"/>
          <w:sz w:val="24"/>
          <w:szCs w:val="24"/>
        </w:rPr>
        <w:t>Minaki</w:t>
      </w:r>
      <w:proofErr w:type="spellEnd"/>
      <w:r>
        <w:rPr>
          <w:bCs/>
          <w:snapToGrid w:val="0"/>
          <w:sz w:val="24"/>
          <w:szCs w:val="24"/>
        </w:rPr>
        <w:t xml:space="preserve"> account owned by the Allison Family Trust thus exceeding her authority.</w:t>
      </w:r>
    </w:p>
    <w:p w14:paraId="6A69F2EE" w14:textId="77777777" w:rsidR="00E62629" w:rsidRPr="008C01B4" w:rsidRDefault="00E62629" w:rsidP="00E62629">
      <w:pPr>
        <w:ind w:right="720"/>
        <w:jc w:val="both"/>
        <w:rPr>
          <w:bCs/>
          <w:snapToGrid w:val="0"/>
          <w:sz w:val="24"/>
          <w:szCs w:val="24"/>
        </w:rPr>
      </w:pPr>
    </w:p>
    <w:p w14:paraId="7D998334" w14:textId="77777777" w:rsidR="00E62629" w:rsidRPr="00483330" w:rsidRDefault="00E62629" w:rsidP="00E62629">
      <w:pPr>
        <w:pStyle w:val="ListParagraph"/>
        <w:numPr>
          <w:ilvl w:val="0"/>
          <w:numId w:val="4"/>
        </w:numPr>
        <w:ind w:right="720"/>
        <w:jc w:val="both"/>
        <w:rPr>
          <w:bCs/>
          <w:snapToGrid w:val="0"/>
          <w:sz w:val="24"/>
          <w:szCs w:val="24"/>
        </w:rPr>
      </w:pPr>
      <w:r w:rsidRPr="00483330">
        <w:rPr>
          <w:sz w:val="24"/>
          <w:szCs w:val="24"/>
        </w:rPr>
        <w:t xml:space="preserve">The fact that an individual signed the arbitration agreement in one capacity is not clear and unmistakable evidence that the individual in separate capacity agreed to arbitrate. </w:t>
      </w:r>
      <w:r w:rsidRPr="00483330">
        <w:rPr>
          <w:i/>
          <w:iCs/>
          <w:sz w:val="24"/>
          <w:szCs w:val="24"/>
        </w:rPr>
        <w:t>See Elgohary</w:t>
      </w:r>
      <w:r w:rsidRPr="00483330">
        <w:rPr>
          <w:sz w:val="24"/>
          <w:szCs w:val="24"/>
        </w:rPr>
        <w:t xml:space="preserve">, 405 S.W.3d at 789. </w:t>
      </w:r>
      <w:r w:rsidRPr="00483330">
        <w:rPr>
          <w:b/>
          <w:bCs/>
          <w:i/>
          <w:iCs/>
          <w:sz w:val="24"/>
          <w:szCs w:val="24"/>
        </w:rPr>
        <w:t>This is because actions taken by an individual in a personal capacity are separate and distinct from actions taken in an individual's representative capacity</w:t>
      </w:r>
      <w:r w:rsidRPr="00483330">
        <w:rPr>
          <w:sz w:val="24"/>
          <w:szCs w:val="24"/>
        </w:rPr>
        <w:t xml:space="preserve">. </w:t>
      </w:r>
      <w:r w:rsidRPr="00483330">
        <w:rPr>
          <w:i/>
          <w:iCs/>
          <w:sz w:val="24"/>
          <w:szCs w:val="24"/>
        </w:rPr>
        <w:t>See Hanschen v. Hanschen</w:t>
      </w:r>
      <w:r w:rsidRPr="00483330">
        <w:rPr>
          <w:sz w:val="24"/>
          <w:szCs w:val="24"/>
        </w:rPr>
        <w:t>, 605 S.W.3d 57, 57 (Tex. App.—Dallas 2020, no pet.).</w:t>
      </w:r>
      <w:r>
        <w:rPr>
          <w:sz w:val="24"/>
          <w:szCs w:val="24"/>
        </w:rPr>
        <w:t xml:space="preserve"> The arbitrator exceeded her authority in rendering an award that impacted the non-party.</w:t>
      </w:r>
    </w:p>
    <w:p w14:paraId="054B4D91" w14:textId="77777777" w:rsidR="00E62629" w:rsidRPr="00450EE6" w:rsidRDefault="00E62629" w:rsidP="00E62629">
      <w:pPr>
        <w:pStyle w:val="ListParagraph"/>
        <w:rPr>
          <w:bCs/>
          <w:snapToGrid w:val="0"/>
          <w:sz w:val="24"/>
          <w:szCs w:val="24"/>
        </w:rPr>
      </w:pPr>
    </w:p>
    <w:p w14:paraId="34EB67E7" w14:textId="77777777" w:rsidR="00E62629" w:rsidRDefault="00E62629" w:rsidP="00E62629">
      <w:pPr>
        <w:pStyle w:val="ListParagraph"/>
        <w:numPr>
          <w:ilvl w:val="0"/>
          <w:numId w:val="4"/>
        </w:numPr>
        <w:ind w:right="720"/>
        <w:jc w:val="both"/>
        <w:rPr>
          <w:bCs/>
          <w:snapToGrid w:val="0"/>
          <w:sz w:val="24"/>
          <w:szCs w:val="24"/>
        </w:rPr>
      </w:pPr>
      <w:r>
        <w:rPr>
          <w:bCs/>
          <w:snapToGrid w:val="0"/>
          <w:sz w:val="24"/>
          <w:szCs w:val="24"/>
        </w:rPr>
        <w:t xml:space="preserve">Neither </w:t>
      </w:r>
      <w:proofErr w:type="spellStart"/>
      <w:r>
        <w:rPr>
          <w:bCs/>
          <w:snapToGrid w:val="0"/>
          <w:sz w:val="24"/>
          <w:szCs w:val="24"/>
        </w:rPr>
        <w:t>Minaki</w:t>
      </w:r>
      <w:proofErr w:type="spellEnd"/>
      <w:r>
        <w:rPr>
          <w:bCs/>
          <w:snapToGrid w:val="0"/>
          <w:sz w:val="24"/>
          <w:szCs w:val="24"/>
        </w:rPr>
        <w:t xml:space="preserve"> nor the Allison Family Trust (or its trustees) were named as parties to the arbitration or these court proceedings. </w:t>
      </w:r>
      <w:r w:rsidRPr="00450EE6">
        <w:rPr>
          <w:b/>
          <w:i/>
          <w:iCs/>
          <w:snapToGrid w:val="0"/>
          <w:sz w:val="24"/>
          <w:szCs w:val="24"/>
        </w:rPr>
        <w:t>An arbitrator cannot enter an award that requires non-payments to make payments to satisfy the award</w:t>
      </w:r>
      <w:r>
        <w:rPr>
          <w:bCs/>
          <w:snapToGrid w:val="0"/>
          <w:sz w:val="24"/>
          <w:szCs w:val="24"/>
        </w:rPr>
        <w:t xml:space="preserve">. </w:t>
      </w:r>
      <w:r>
        <w:rPr>
          <w:bCs/>
          <w:i/>
          <w:iCs/>
          <w:snapToGrid w:val="0"/>
          <w:sz w:val="24"/>
          <w:szCs w:val="24"/>
        </w:rPr>
        <w:t>See, Rapid Settlements, Ltd. v. Green</w:t>
      </w:r>
      <w:r>
        <w:rPr>
          <w:bCs/>
          <w:snapToGrid w:val="0"/>
          <w:sz w:val="24"/>
          <w:szCs w:val="24"/>
        </w:rPr>
        <w:t>, 294 S.W.3d 701 (</w:t>
      </w:r>
      <w:proofErr w:type="spellStart"/>
      <w:r>
        <w:rPr>
          <w:bCs/>
          <w:snapToGrid w:val="0"/>
          <w:sz w:val="24"/>
          <w:szCs w:val="24"/>
        </w:rPr>
        <w:t>Tex.App</w:t>
      </w:r>
      <w:proofErr w:type="spellEnd"/>
      <w:r>
        <w:rPr>
          <w:bCs/>
          <w:snapToGrid w:val="0"/>
          <w:sz w:val="24"/>
          <w:szCs w:val="24"/>
        </w:rPr>
        <w:t>.—Houston [1</w:t>
      </w:r>
      <w:r w:rsidRPr="000946F9">
        <w:rPr>
          <w:bCs/>
          <w:snapToGrid w:val="0"/>
          <w:sz w:val="24"/>
          <w:szCs w:val="24"/>
          <w:vertAlign w:val="superscript"/>
        </w:rPr>
        <w:t>st</w:t>
      </w:r>
      <w:r>
        <w:rPr>
          <w:bCs/>
          <w:snapToGrid w:val="0"/>
          <w:sz w:val="24"/>
          <w:szCs w:val="24"/>
        </w:rPr>
        <w:t xml:space="preserve"> Dist.] 2009, no pet). Nevertheless, the arbitrator exceeded her authority by freezing the </w:t>
      </w:r>
      <w:proofErr w:type="spellStart"/>
      <w:r>
        <w:rPr>
          <w:bCs/>
          <w:snapToGrid w:val="0"/>
          <w:sz w:val="24"/>
          <w:szCs w:val="24"/>
        </w:rPr>
        <w:t>Minaki</w:t>
      </w:r>
      <w:proofErr w:type="spellEnd"/>
      <w:r>
        <w:rPr>
          <w:bCs/>
          <w:snapToGrid w:val="0"/>
          <w:sz w:val="24"/>
          <w:szCs w:val="24"/>
        </w:rPr>
        <w:t xml:space="preserve"> account and requiring the production of account statements from a limited partnership owned in trust (none of which were parties to the arbitration).</w:t>
      </w:r>
    </w:p>
    <w:p w14:paraId="45FDD38C" w14:textId="77777777" w:rsidR="00E62629" w:rsidRPr="002E6A18" w:rsidRDefault="00E62629" w:rsidP="00E62629">
      <w:pPr>
        <w:pStyle w:val="ListParagraph"/>
        <w:rPr>
          <w:bCs/>
          <w:snapToGrid w:val="0"/>
          <w:sz w:val="24"/>
          <w:szCs w:val="24"/>
        </w:rPr>
      </w:pPr>
    </w:p>
    <w:p w14:paraId="35A97867" w14:textId="77777777" w:rsidR="00E62629" w:rsidRPr="00483330" w:rsidRDefault="00E62629" w:rsidP="00E62629">
      <w:pPr>
        <w:pStyle w:val="ListParagraph"/>
        <w:numPr>
          <w:ilvl w:val="0"/>
          <w:numId w:val="4"/>
        </w:numPr>
        <w:ind w:right="720"/>
        <w:jc w:val="both"/>
        <w:rPr>
          <w:bCs/>
          <w:snapToGrid w:val="0"/>
          <w:sz w:val="24"/>
          <w:szCs w:val="24"/>
        </w:rPr>
      </w:pPr>
      <w:r w:rsidRPr="002E6A18">
        <w:rPr>
          <w:sz w:val="24"/>
          <w:szCs w:val="24"/>
        </w:rPr>
        <w:t>It is well-settled that “</w:t>
      </w:r>
      <w:r w:rsidRPr="002E6A18">
        <w:rPr>
          <w:b/>
          <w:bCs/>
          <w:i/>
          <w:iCs/>
          <w:sz w:val="24"/>
          <w:szCs w:val="24"/>
        </w:rPr>
        <w:t>a judgment cannot be entered against a trust when the trustee appeared solely in her individual capacity</w:t>
      </w:r>
      <w:r w:rsidRPr="002E6A18">
        <w:rPr>
          <w:sz w:val="24"/>
          <w:szCs w:val="24"/>
        </w:rPr>
        <w:t xml:space="preserve">.” </w:t>
      </w:r>
      <w:r w:rsidRPr="002E6A18">
        <w:rPr>
          <w:i/>
          <w:iCs/>
          <w:sz w:val="24"/>
          <w:szCs w:val="24"/>
        </w:rPr>
        <w:t>United States Fid. &amp; Guar. Co. v. Goudeau</w:t>
      </w:r>
      <w:r w:rsidRPr="002E6A18">
        <w:rPr>
          <w:sz w:val="24"/>
          <w:szCs w:val="24"/>
        </w:rPr>
        <w:t>, 272 S.W.3d 603, 609 (Tex. 2008).</w:t>
      </w:r>
      <w:r>
        <w:rPr>
          <w:sz w:val="24"/>
          <w:szCs w:val="24"/>
        </w:rPr>
        <w:t xml:space="preserve"> Still, the arbitrator exceeded her authority when she froze the </w:t>
      </w:r>
      <w:proofErr w:type="spellStart"/>
      <w:r>
        <w:rPr>
          <w:sz w:val="24"/>
          <w:szCs w:val="24"/>
        </w:rPr>
        <w:t>Minaki</w:t>
      </w:r>
      <w:proofErr w:type="spellEnd"/>
      <w:r>
        <w:rPr>
          <w:sz w:val="24"/>
          <w:szCs w:val="24"/>
        </w:rPr>
        <w:t xml:space="preserve"> account as the only parties Defendants sued in arbitration were Richard and Caroline in their individual capacities.</w:t>
      </w:r>
    </w:p>
    <w:p w14:paraId="417CD964" w14:textId="77777777" w:rsidR="00E62629" w:rsidRPr="00483330" w:rsidRDefault="00E62629" w:rsidP="00E62629">
      <w:pPr>
        <w:pStyle w:val="ListParagraph"/>
        <w:rPr>
          <w:bCs/>
          <w:snapToGrid w:val="0"/>
          <w:sz w:val="24"/>
          <w:szCs w:val="24"/>
        </w:rPr>
      </w:pPr>
    </w:p>
    <w:p w14:paraId="6DACA03A" w14:textId="77777777" w:rsidR="00E62629" w:rsidRPr="00483330" w:rsidRDefault="00E62629" w:rsidP="00E62629">
      <w:pPr>
        <w:pStyle w:val="ListParagraph"/>
        <w:numPr>
          <w:ilvl w:val="0"/>
          <w:numId w:val="4"/>
        </w:numPr>
        <w:ind w:right="720"/>
        <w:jc w:val="both"/>
        <w:rPr>
          <w:bCs/>
          <w:snapToGrid w:val="0"/>
          <w:sz w:val="24"/>
          <w:szCs w:val="24"/>
        </w:rPr>
      </w:pPr>
      <w:r w:rsidRPr="00483330">
        <w:rPr>
          <w:b/>
          <w:i/>
          <w:iCs/>
          <w:snapToGrid w:val="0"/>
          <w:sz w:val="24"/>
          <w:szCs w:val="24"/>
        </w:rPr>
        <w:t>A court cannot render judgment against a party in a capacity in which she was not sued</w:t>
      </w:r>
      <w:r>
        <w:rPr>
          <w:bCs/>
          <w:snapToGrid w:val="0"/>
          <w:sz w:val="24"/>
          <w:szCs w:val="24"/>
        </w:rPr>
        <w:t xml:space="preserve">. </w:t>
      </w:r>
      <w:r w:rsidRPr="00483330">
        <w:rPr>
          <w:bCs/>
          <w:i/>
          <w:iCs/>
          <w:snapToGrid w:val="0"/>
          <w:sz w:val="24"/>
          <w:szCs w:val="24"/>
        </w:rPr>
        <w:t xml:space="preserve">Werner v. Colwell, </w:t>
      </w:r>
      <w:r w:rsidRPr="00483330">
        <w:rPr>
          <w:bCs/>
          <w:snapToGrid w:val="0"/>
          <w:sz w:val="24"/>
          <w:szCs w:val="24"/>
        </w:rPr>
        <w:t>909 S.W.2d 866, 870 (Tex.1995)</w:t>
      </w:r>
      <w:r>
        <w:rPr>
          <w:bCs/>
          <w:snapToGrid w:val="0"/>
          <w:sz w:val="24"/>
          <w:szCs w:val="24"/>
        </w:rPr>
        <w:t xml:space="preserve">. The arbitrator </w:t>
      </w:r>
      <w:r>
        <w:rPr>
          <w:bCs/>
          <w:snapToGrid w:val="0"/>
          <w:sz w:val="24"/>
          <w:szCs w:val="24"/>
        </w:rPr>
        <w:lastRenderedPageBreak/>
        <w:t>exceeded her authority in rendering a judgment freezing an account and mandating that a non-party’s records be produced.</w:t>
      </w:r>
    </w:p>
    <w:p w14:paraId="128BB52D" w14:textId="77777777" w:rsidR="00E62629" w:rsidRPr="00450EE6" w:rsidRDefault="00E62629" w:rsidP="00E62629">
      <w:pPr>
        <w:pStyle w:val="ListParagraph"/>
        <w:rPr>
          <w:bCs/>
          <w:snapToGrid w:val="0"/>
          <w:sz w:val="24"/>
          <w:szCs w:val="24"/>
        </w:rPr>
      </w:pPr>
    </w:p>
    <w:p w14:paraId="14B24C9A" w14:textId="56D75BDC" w:rsidR="00E62629" w:rsidRPr="002E6A18" w:rsidRDefault="00E62629" w:rsidP="00E62629">
      <w:pPr>
        <w:pStyle w:val="ListParagraph"/>
        <w:numPr>
          <w:ilvl w:val="0"/>
          <w:numId w:val="4"/>
        </w:numPr>
        <w:ind w:right="720"/>
        <w:jc w:val="both"/>
        <w:rPr>
          <w:bCs/>
          <w:snapToGrid w:val="0"/>
          <w:sz w:val="24"/>
          <w:szCs w:val="24"/>
        </w:rPr>
      </w:pPr>
      <w:r w:rsidRPr="002E6A18">
        <w:rPr>
          <w:b/>
          <w:i/>
          <w:iCs/>
          <w:snapToGrid w:val="0"/>
          <w:sz w:val="24"/>
          <w:szCs w:val="24"/>
        </w:rPr>
        <w:t xml:space="preserve">A person acting in an individual capacity is, in law, not the same person </w:t>
      </w:r>
      <w:proofErr w:type="gramStart"/>
      <w:r w:rsidRPr="002E6A18">
        <w:rPr>
          <w:b/>
          <w:i/>
          <w:iCs/>
          <w:snapToGrid w:val="0"/>
          <w:sz w:val="24"/>
          <w:szCs w:val="24"/>
        </w:rPr>
        <w:t>when</w:t>
      </w:r>
      <w:proofErr w:type="gramEnd"/>
      <w:r w:rsidRPr="002E6A18">
        <w:rPr>
          <w:b/>
          <w:i/>
          <w:iCs/>
          <w:snapToGrid w:val="0"/>
          <w:sz w:val="24"/>
          <w:szCs w:val="24"/>
        </w:rPr>
        <w:t xml:space="preserve"> acting in a representative capacity.</w:t>
      </w:r>
      <w:r w:rsidRPr="002E6A18">
        <w:rPr>
          <w:bCs/>
          <w:snapToGrid w:val="0"/>
          <w:sz w:val="24"/>
          <w:szCs w:val="24"/>
        </w:rPr>
        <w:t xml:space="preserve"> </w:t>
      </w:r>
      <w:r w:rsidRPr="003565F0">
        <w:rPr>
          <w:bCs/>
          <w:i/>
          <w:iCs/>
          <w:snapToGrid w:val="0"/>
          <w:sz w:val="24"/>
          <w:szCs w:val="24"/>
        </w:rPr>
        <w:t xml:space="preserve">McGinnis v. McGinnis, </w:t>
      </w:r>
      <w:r w:rsidRPr="003565F0">
        <w:rPr>
          <w:bCs/>
          <w:snapToGrid w:val="0"/>
          <w:sz w:val="24"/>
          <w:szCs w:val="24"/>
        </w:rPr>
        <w:t>267 S.W.2d 432, 435 (Tex.</w:t>
      </w:r>
      <w:r w:rsidR="003C1DBD">
        <w:rPr>
          <w:bCs/>
          <w:snapToGrid w:val="0"/>
          <w:sz w:val="24"/>
          <w:szCs w:val="24"/>
        </w:rPr>
        <w:t xml:space="preserve"> </w:t>
      </w:r>
      <w:r w:rsidRPr="003565F0">
        <w:rPr>
          <w:bCs/>
          <w:snapToGrid w:val="0"/>
          <w:sz w:val="24"/>
          <w:szCs w:val="24"/>
        </w:rPr>
        <w:t>Civ.</w:t>
      </w:r>
      <w:r w:rsidR="003C1DBD">
        <w:rPr>
          <w:bCs/>
          <w:snapToGrid w:val="0"/>
          <w:sz w:val="24"/>
          <w:szCs w:val="24"/>
        </w:rPr>
        <w:t xml:space="preserve"> </w:t>
      </w:r>
      <w:r w:rsidRPr="003565F0">
        <w:rPr>
          <w:bCs/>
          <w:snapToGrid w:val="0"/>
          <w:sz w:val="24"/>
          <w:szCs w:val="24"/>
        </w:rPr>
        <w:t>App.-San Antonio</w:t>
      </w:r>
      <w:r w:rsidRPr="002E6A18">
        <w:rPr>
          <w:bCs/>
          <w:snapToGrid w:val="0"/>
          <w:sz w:val="24"/>
          <w:szCs w:val="24"/>
        </w:rPr>
        <w:t xml:space="preserve"> </w:t>
      </w:r>
      <w:r w:rsidRPr="003565F0">
        <w:rPr>
          <w:bCs/>
          <w:snapToGrid w:val="0"/>
          <w:sz w:val="24"/>
          <w:szCs w:val="24"/>
        </w:rPr>
        <w:t>1954, no writ) (“William L. McGinnis, the individual, is not the same party as William L.</w:t>
      </w:r>
      <w:r w:rsidRPr="002E6A18">
        <w:rPr>
          <w:bCs/>
          <w:snapToGrid w:val="0"/>
          <w:sz w:val="24"/>
          <w:szCs w:val="24"/>
        </w:rPr>
        <w:t xml:space="preserve"> McGinnis, the next friend of Janie Barr's estate and person.”)</w:t>
      </w:r>
      <w:r>
        <w:rPr>
          <w:bCs/>
          <w:snapToGrid w:val="0"/>
          <w:sz w:val="24"/>
          <w:szCs w:val="24"/>
        </w:rPr>
        <w:t xml:space="preserve">; </w:t>
      </w:r>
      <w:r w:rsidRPr="002E6A18">
        <w:rPr>
          <w:bCs/>
          <w:i/>
          <w:iCs/>
          <w:snapToGrid w:val="0"/>
          <w:sz w:val="24"/>
          <w:szCs w:val="24"/>
        </w:rPr>
        <w:t>Elizondo v. Tex. Natural Res. Conservation Comm’n</w:t>
      </w:r>
      <w:r w:rsidRPr="002E6A18">
        <w:rPr>
          <w:bCs/>
          <w:snapToGrid w:val="0"/>
          <w:sz w:val="24"/>
          <w:szCs w:val="24"/>
        </w:rPr>
        <w:t>, 974 S.W.2d 928, 931 (Tex.</w:t>
      </w:r>
      <w:r w:rsidR="003C1DBD">
        <w:rPr>
          <w:bCs/>
          <w:snapToGrid w:val="0"/>
          <w:sz w:val="24"/>
          <w:szCs w:val="24"/>
        </w:rPr>
        <w:t xml:space="preserve"> </w:t>
      </w:r>
      <w:r w:rsidRPr="002E6A18">
        <w:rPr>
          <w:bCs/>
          <w:snapToGrid w:val="0"/>
          <w:sz w:val="24"/>
          <w:szCs w:val="24"/>
        </w:rPr>
        <w:t>App.—Austin 1998, no pet.)(Mildred Elizondo in her individual capacity is, in law, not the same person as Mildred Elizondo in her capacity as representative of the Finch heirs)</w:t>
      </w:r>
      <w:r>
        <w:rPr>
          <w:bCs/>
          <w:snapToGrid w:val="0"/>
          <w:sz w:val="24"/>
          <w:szCs w:val="24"/>
        </w:rPr>
        <w:t>. Still, the arbitrator exceeded her authority by treating Richard and Caroline as one in the same regardless of capacity as evidenced by freezing the account and mandating production of account statements that are not held in their individual capacities.</w:t>
      </w:r>
    </w:p>
    <w:p w14:paraId="17316DD7" w14:textId="77777777" w:rsidR="00E62629" w:rsidRPr="002E6A18" w:rsidRDefault="00E62629" w:rsidP="00E62629">
      <w:pPr>
        <w:rPr>
          <w:bCs/>
          <w:snapToGrid w:val="0"/>
          <w:sz w:val="24"/>
          <w:szCs w:val="24"/>
        </w:rPr>
      </w:pPr>
    </w:p>
    <w:p w14:paraId="5E4F85EE" w14:textId="77777777" w:rsidR="00E62629" w:rsidRDefault="00E62629" w:rsidP="00E62629">
      <w:pPr>
        <w:pStyle w:val="ListParagraph"/>
        <w:numPr>
          <w:ilvl w:val="0"/>
          <w:numId w:val="4"/>
        </w:numPr>
        <w:ind w:right="720"/>
        <w:jc w:val="both"/>
        <w:rPr>
          <w:bCs/>
          <w:snapToGrid w:val="0"/>
          <w:sz w:val="24"/>
          <w:szCs w:val="24"/>
        </w:rPr>
      </w:pPr>
      <w:r w:rsidRPr="002E6A18">
        <w:rPr>
          <w:bCs/>
          <w:snapToGrid w:val="0"/>
          <w:sz w:val="24"/>
          <w:szCs w:val="24"/>
        </w:rPr>
        <w:t xml:space="preserve">A person who sues or is sued in his official or representative capacity is, in contemplation of law, regarded as a person distinct from the same person in his individual capacity and is a stranger to his rights or liabilities as an individual. </w:t>
      </w:r>
      <w:r w:rsidRPr="002E6A18">
        <w:rPr>
          <w:b/>
          <w:i/>
          <w:iCs/>
          <w:snapToGrid w:val="0"/>
          <w:sz w:val="24"/>
          <w:szCs w:val="24"/>
        </w:rPr>
        <w:t>It is equally true that a person in his individual capacity is a stranger to his rights and liabilities as a fiduciary or in a representative capacity.</w:t>
      </w:r>
      <w:r>
        <w:rPr>
          <w:b/>
          <w:i/>
          <w:iCs/>
          <w:snapToGrid w:val="0"/>
          <w:sz w:val="24"/>
          <w:szCs w:val="24"/>
        </w:rPr>
        <w:t xml:space="preserve"> </w:t>
      </w:r>
      <w:r w:rsidRPr="002E6A18">
        <w:rPr>
          <w:bCs/>
          <w:i/>
          <w:iCs/>
          <w:snapToGrid w:val="0"/>
          <w:sz w:val="24"/>
          <w:szCs w:val="24"/>
        </w:rPr>
        <w:t>Elizondo</w:t>
      </w:r>
      <w:r w:rsidRPr="002E6A18">
        <w:rPr>
          <w:bCs/>
          <w:snapToGrid w:val="0"/>
          <w:sz w:val="24"/>
          <w:szCs w:val="24"/>
        </w:rPr>
        <w:t xml:space="preserve">, 974 S.W.2d </w:t>
      </w:r>
      <w:r>
        <w:rPr>
          <w:bCs/>
          <w:snapToGrid w:val="0"/>
          <w:sz w:val="24"/>
          <w:szCs w:val="24"/>
        </w:rPr>
        <w:t xml:space="preserve">at </w:t>
      </w:r>
      <w:r w:rsidRPr="002E6A18">
        <w:rPr>
          <w:bCs/>
          <w:snapToGrid w:val="0"/>
          <w:sz w:val="24"/>
          <w:szCs w:val="24"/>
        </w:rPr>
        <w:t>931</w:t>
      </w:r>
      <w:r>
        <w:rPr>
          <w:bCs/>
          <w:snapToGrid w:val="0"/>
          <w:sz w:val="24"/>
          <w:szCs w:val="24"/>
        </w:rPr>
        <w:t xml:space="preserve">. Despite this black letter law, the arbitrator exceeded her authority and treated Richard or Caroline as though they were the same no </w:t>
      </w:r>
      <w:proofErr w:type="gramStart"/>
      <w:r>
        <w:rPr>
          <w:bCs/>
          <w:snapToGrid w:val="0"/>
          <w:sz w:val="24"/>
          <w:szCs w:val="24"/>
        </w:rPr>
        <w:t>matter</w:t>
      </w:r>
      <w:proofErr w:type="gramEnd"/>
      <w:r>
        <w:rPr>
          <w:bCs/>
          <w:snapToGrid w:val="0"/>
          <w:sz w:val="24"/>
          <w:szCs w:val="24"/>
        </w:rPr>
        <w:t xml:space="preserve"> their capacities.</w:t>
      </w:r>
    </w:p>
    <w:p w14:paraId="2BD1D779" w14:textId="77777777" w:rsidR="00E62629" w:rsidRPr="002E6A18" w:rsidRDefault="00E62629" w:rsidP="00E62629">
      <w:pPr>
        <w:pStyle w:val="ListParagraph"/>
        <w:rPr>
          <w:bCs/>
          <w:snapToGrid w:val="0"/>
          <w:sz w:val="24"/>
          <w:szCs w:val="24"/>
        </w:rPr>
      </w:pPr>
    </w:p>
    <w:p w14:paraId="2C4418E5" w14:textId="77777777" w:rsidR="00E62629" w:rsidRDefault="00E62629" w:rsidP="00E62629">
      <w:pPr>
        <w:pStyle w:val="ListParagraph"/>
        <w:numPr>
          <w:ilvl w:val="0"/>
          <w:numId w:val="4"/>
        </w:numPr>
        <w:ind w:right="720"/>
        <w:jc w:val="both"/>
        <w:rPr>
          <w:bCs/>
          <w:snapToGrid w:val="0"/>
          <w:sz w:val="24"/>
          <w:szCs w:val="24"/>
        </w:rPr>
      </w:pPr>
      <w:r w:rsidRPr="002E6A18">
        <w:rPr>
          <w:b/>
          <w:i/>
          <w:iCs/>
          <w:snapToGrid w:val="0"/>
          <w:sz w:val="24"/>
          <w:szCs w:val="24"/>
        </w:rPr>
        <w:t>The law does not allow a judgment against a trust to be executed against an individual beneficiary of that trust and vice versa</w:t>
      </w:r>
      <w:r w:rsidRPr="002E6A18">
        <w:rPr>
          <w:bCs/>
          <w:snapToGrid w:val="0"/>
          <w:sz w:val="24"/>
          <w:szCs w:val="24"/>
        </w:rPr>
        <w:t xml:space="preserve">. </w:t>
      </w:r>
      <w:r w:rsidRPr="002E6A18">
        <w:rPr>
          <w:bCs/>
          <w:i/>
          <w:iCs/>
          <w:snapToGrid w:val="0"/>
          <w:sz w:val="24"/>
          <w:szCs w:val="24"/>
        </w:rPr>
        <w:t>See McCamey v. Hollister Oil Co.</w:t>
      </w:r>
      <w:r w:rsidRPr="002E6A18">
        <w:rPr>
          <w:bCs/>
          <w:snapToGrid w:val="0"/>
          <w:sz w:val="24"/>
          <w:szCs w:val="24"/>
        </w:rPr>
        <w:t xml:space="preserve">, 241 S.W. 689, 695 (Tex. App.—Fort Worth 1922), </w:t>
      </w:r>
      <w:r w:rsidRPr="002E6A18">
        <w:rPr>
          <w:bCs/>
          <w:i/>
          <w:iCs/>
          <w:snapToGrid w:val="0"/>
          <w:sz w:val="24"/>
          <w:szCs w:val="24"/>
        </w:rPr>
        <w:t>aff'd sub nom, Hollister v. McCamey</w:t>
      </w:r>
      <w:r w:rsidRPr="002E6A18">
        <w:rPr>
          <w:bCs/>
          <w:snapToGrid w:val="0"/>
          <w:sz w:val="24"/>
          <w:szCs w:val="24"/>
        </w:rPr>
        <w:t>, 115 Tex. 49, 274 S.W. 562 (</w:t>
      </w:r>
      <w:proofErr w:type="gramStart"/>
      <w:r w:rsidRPr="002E6A18">
        <w:rPr>
          <w:bCs/>
          <w:snapToGrid w:val="0"/>
          <w:sz w:val="24"/>
          <w:szCs w:val="24"/>
        </w:rPr>
        <w:t>1925)</w:t>
      </w:r>
      <w:r w:rsidRPr="00FE0EAA">
        <w:rPr>
          <w:bCs/>
          <w:snapToGrid w:val="0"/>
          <w:sz w:val="24"/>
          <w:szCs w:val="24"/>
        </w:rPr>
        <w:t>(</w:t>
      </w:r>
      <w:proofErr w:type="gramEnd"/>
      <w:r w:rsidRPr="00FE0EAA">
        <w:rPr>
          <w:bCs/>
          <w:i/>
          <w:iCs/>
          <w:snapToGrid w:val="0"/>
          <w:sz w:val="24"/>
          <w:szCs w:val="24"/>
        </w:rPr>
        <w:t>Confirming a beneficiary cannot be held liable for obligations incurred by the trustee.</w:t>
      </w:r>
      <w:r w:rsidRPr="00FE0EAA">
        <w:rPr>
          <w:bCs/>
          <w:snapToGrid w:val="0"/>
          <w:sz w:val="24"/>
          <w:szCs w:val="24"/>
        </w:rPr>
        <w:t xml:space="preserve">). </w:t>
      </w:r>
      <w:r>
        <w:rPr>
          <w:bCs/>
          <w:snapToGrid w:val="0"/>
          <w:sz w:val="24"/>
          <w:szCs w:val="24"/>
        </w:rPr>
        <w:t xml:space="preserve">The arbitrator exceeded her authority by freezing the </w:t>
      </w:r>
      <w:proofErr w:type="spellStart"/>
      <w:r>
        <w:rPr>
          <w:bCs/>
          <w:snapToGrid w:val="0"/>
          <w:sz w:val="24"/>
          <w:szCs w:val="24"/>
        </w:rPr>
        <w:t>Minaki</w:t>
      </w:r>
      <w:proofErr w:type="spellEnd"/>
      <w:r>
        <w:rPr>
          <w:bCs/>
          <w:snapToGrid w:val="0"/>
          <w:sz w:val="24"/>
          <w:szCs w:val="24"/>
        </w:rPr>
        <w:t xml:space="preserve"> account held in trust when it was not a party to the arbitration proceedings or arbitration agreement.</w:t>
      </w:r>
    </w:p>
    <w:p w14:paraId="4B7BDE29" w14:textId="77777777" w:rsidR="00E62629" w:rsidRPr="002E6A18" w:rsidRDefault="00E62629" w:rsidP="00E62629">
      <w:pPr>
        <w:pStyle w:val="ListParagraph"/>
        <w:rPr>
          <w:bCs/>
          <w:snapToGrid w:val="0"/>
          <w:sz w:val="24"/>
          <w:szCs w:val="24"/>
        </w:rPr>
      </w:pPr>
    </w:p>
    <w:p w14:paraId="6A06A3FB" w14:textId="77777777" w:rsidR="00E62629" w:rsidRPr="00483330" w:rsidRDefault="00E62629" w:rsidP="00E62629">
      <w:pPr>
        <w:pStyle w:val="ListParagraph"/>
        <w:numPr>
          <w:ilvl w:val="0"/>
          <w:numId w:val="4"/>
        </w:numPr>
        <w:ind w:right="720"/>
        <w:jc w:val="both"/>
        <w:rPr>
          <w:bCs/>
          <w:snapToGrid w:val="0"/>
          <w:sz w:val="24"/>
          <w:szCs w:val="24"/>
        </w:rPr>
      </w:pPr>
      <w:r>
        <w:rPr>
          <w:bCs/>
          <w:snapToGrid w:val="0"/>
          <w:sz w:val="24"/>
          <w:szCs w:val="24"/>
        </w:rPr>
        <w:t xml:space="preserve">The arbitrator froze the </w:t>
      </w:r>
      <w:proofErr w:type="spellStart"/>
      <w:r>
        <w:rPr>
          <w:bCs/>
          <w:snapToGrid w:val="0"/>
          <w:sz w:val="24"/>
          <w:szCs w:val="24"/>
        </w:rPr>
        <w:t>Minaki</w:t>
      </w:r>
      <w:proofErr w:type="spellEnd"/>
      <w:r>
        <w:rPr>
          <w:bCs/>
          <w:snapToGrid w:val="0"/>
          <w:sz w:val="24"/>
          <w:szCs w:val="24"/>
        </w:rPr>
        <w:t xml:space="preserve"> account even though </w:t>
      </w:r>
      <w:proofErr w:type="spellStart"/>
      <w:r>
        <w:rPr>
          <w:bCs/>
          <w:snapToGrid w:val="0"/>
          <w:sz w:val="24"/>
          <w:szCs w:val="24"/>
        </w:rPr>
        <w:t>Minaki</w:t>
      </w:r>
      <w:proofErr w:type="spellEnd"/>
      <w:r>
        <w:rPr>
          <w:bCs/>
          <w:snapToGrid w:val="0"/>
          <w:sz w:val="24"/>
          <w:szCs w:val="24"/>
        </w:rPr>
        <w:t xml:space="preserve"> and the Allison Family Trust (through Richard and Caroline as trustees) were never served with process. </w:t>
      </w:r>
      <w:r w:rsidRPr="00483330">
        <w:rPr>
          <w:b/>
          <w:i/>
          <w:iCs/>
          <w:snapToGrid w:val="0"/>
          <w:sz w:val="24"/>
          <w:szCs w:val="24"/>
        </w:rPr>
        <w:t>This exceeded her authority under Texas Rule of Civil Procedure 124, which precludes judgment against a party without service of process.</w:t>
      </w:r>
    </w:p>
    <w:p w14:paraId="1BCDD344" w14:textId="77777777" w:rsidR="00E62629" w:rsidRPr="00483330" w:rsidRDefault="00E62629" w:rsidP="00E62629">
      <w:pPr>
        <w:pStyle w:val="ListParagraph"/>
        <w:rPr>
          <w:rFonts w:ascii="Century Schoolbook" w:hAnsi="Century Schoolbook"/>
          <w:sz w:val="24"/>
          <w:szCs w:val="24"/>
        </w:rPr>
      </w:pPr>
    </w:p>
    <w:p w14:paraId="422E8D94" w14:textId="77777777" w:rsidR="00E62629" w:rsidRPr="00483330" w:rsidRDefault="00E62629" w:rsidP="00E62629">
      <w:pPr>
        <w:pStyle w:val="ListParagraph"/>
        <w:numPr>
          <w:ilvl w:val="0"/>
          <w:numId w:val="4"/>
        </w:numPr>
        <w:ind w:right="720"/>
        <w:jc w:val="both"/>
        <w:rPr>
          <w:bCs/>
          <w:snapToGrid w:val="0"/>
          <w:sz w:val="24"/>
          <w:szCs w:val="24"/>
        </w:rPr>
      </w:pPr>
      <w:r w:rsidRPr="00483330">
        <w:rPr>
          <w:sz w:val="24"/>
          <w:szCs w:val="24"/>
        </w:rPr>
        <w:t xml:space="preserve"> “</w:t>
      </w:r>
      <w:r>
        <w:rPr>
          <w:sz w:val="24"/>
          <w:szCs w:val="24"/>
        </w:rPr>
        <w:t>T</w:t>
      </w:r>
      <w:r w:rsidRPr="00483330">
        <w:rPr>
          <w:sz w:val="24"/>
          <w:szCs w:val="24"/>
        </w:rPr>
        <w:t xml:space="preserve">o hold a trust liable, </w:t>
      </w:r>
      <w:r w:rsidRPr="00483330">
        <w:rPr>
          <w:b/>
          <w:bCs/>
          <w:i/>
          <w:iCs/>
          <w:sz w:val="24"/>
          <w:szCs w:val="24"/>
        </w:rPr>
        <w:t>the trustee, not the trust, must be the named defendant, and the trustee must be sued in its capacity as the trustee, not just individually.</w:t>
      </w:r>
      <w:r w:rsidRPr="00483330">
        <w:rPr>
          <w:sz w:val="24"/>
          <w:szCs w:val="24"/>
        </w:rPr>
        <w:t xml:space="preserve">” </w:t>
      </w:r>
      <w:r w:rsidRPr="00483330">
        <w:rPr>
          <w:i/>
          <w:iCs/>
          <w:sz w:val="24"/>
          <w:szCs w:val="24"/>
        </w:rPr>
        <w:t xml:space="preserve">Rainbow Tr. v. W. Am. </w:t>
      </w:r>
      <w:proofErr w:type="spellStart"/>
      <w:r w:rsidRPr="00483330">
        <w:rPr>
          <w:i/>
          <w:iCs/>
          <w:sz w:val="24"/>
          <w:szCs w:val="24"/>
        </w:rPr>
        <w:t>Nat'l</w:t>
      </w:r>
      <w:proofErr w:type="spellEnd"/>
      <w:r w:rsidRPr="00483330">
        <w:rPr>
          <w:i/>
          <w:iCs/>
          <w:sz w:val="24"/>
          <w:szCs w:val="24"/>
        </w:rPr>
        <w:t xml:space="preserve"> Bank, N.A.</w:t>
      </w:r>
      <w:r w:rsidRPr="00483330">
        <w:rPr>
          <w:sz w:val="24"/>
          <w:szCs w:val="24"/>
        </w:rPr>
        <w:t>, No. 2-02-347-CV, 2003 Tex. App. LEXIS 7153, at *5 (Tex. App.—Fort Worth Aug. 21, 2003, no pet.) (mem. op.). That was never done here</w:t>
      </w:r>
      <w:r>
        <w:rPr>
          <w:sz w:val="24"/>
          <w:szCs w:val="24"/>
        </w:rPr>
        <w:t>, so the arbitrator exceeded her authority.</w:t>
      </w:r>
    </w:p>
    <w:p w14:paraId="0EFA313F" w14:textId="77777777" w:rsidR="00E62629" w:rsidRPr="00483330" w:rsidRDefault="00E62629" w:rsidP="00E62629">
      <w:pPr>
        <w:pStyle w:val="ListParagraph"/>
        <w:rPr>
          <w:bCs/>
          <w:snapToGrid w:val="0"/>
          <w:sz w:val="24"/>
          <w:szCs w:val="24"/>
        </w:rPr>
      </w:pPr>
    </w:p>
    <w:p w14:paraId="2F40067E" w14:textId="77777777" w:rsidR="00E62629" w:rsidRDefault="00E62629" w:rsidP="00E62629">
      <w:pPr>
        <w:pStyle w:val="ListParagraph"/>
        <w:numPr>
          <w:ilvl w:val="0"/>
          <w:numId w:val="4"/>
        </w:numPr>
        <w:ind w:right="720"/>
        <w:jc w:val="both"/>
        <w:rPr>
          <w:bCs/>
          <w:snapToGrid w:val="0"/>
          <w:sz w:val="24"/>
          <w:szCs w:val="24"/>
        </w:rPr>
      </w:pPr>
      <w:r w:rsidRPr="00814137">
        <w:rPr>
          <w:b/>
          <w:i/>
          <w:iCs/>
          <w:snapToGrid w:val="0"/>
          <w:sz w:val="24"/>
          <w:szCs w:val="24"/>
        </w:rPr>
        <w:t xml:space="preserve">Under Tex. Prop. </w:t>
      </w:r>
      <w:proofErr w:type="gramStart"/>
      <w:r w:rsidRPr="00814137">
        <w:rPr>
          <w:b/>
          <w:i/>
          <w:iCs/>
          <w:snapToGrid w:val="0"/>
          <w:sz w:val="24"/>
          <w:szCs w:val="24"/>
        </w:rPr>
        <w:t>Code  §</w:t>
      </w:r>
      <w:proofErr w:type="gramEnd"/>
      <w:r w:rsidRPr="00814137">
        <w:rPr>
          <w:b/>
          <w:i/>
          <w:iCs/>
          <w:snapToGrid w:val="0"/>
          <w:sz w:val="24"/>
          <w:szCs w:val="24"/>
        </w:rPr>
        <w:t xml:space="preserve"> 115.001(a), issues over trust administration (such as frozen accounts and having to give out account statements) must be heard by a court that has exclusive jurisdiction to hear these types of issues with all interested parties noticed and having a right to be heard</w:t>
      </w:r>
      <w:r w:rsidRPr="00814137">
        <w:rPr>
          <w:bCs/>
          <w:snapToGrid w:val="0"/>
          <w:sz w:val="24"/>
          <w:szCs w:val="24"/>
        </w:rPr>
        <w:t xml:space="preserve">. By freezing the </w:t>
      </w:r>
      <w:proofErr w:type="spellStart"/>
      <w:r>
        <w:rPr>
          <w:bCs/>
          <w:snapToGrid w:val="0"/>
          <w:sz w:val="24"/>
          <w:szCs w:val="24"/>
        </w:rPr>
        <w:t>Minaki</w:t>
      </w:r>
      <w:proofErr w:type="spellEnd"/>
      <w:r>
        <w:rPr>
          <w:bCs/>
          <w:snapToGrid w:val="0"/>
          <w:sz w:val="24"/>
          <w:szCs w:val="24"/>
        </w:rPr>
        <w:t xml:space="preserve"> </w:t>
      </w:r>
      <w:r w:rsidRPr="00814137">
        <w:rPr>
          <w:bCs/>
          <w:snapToGrid w:val="0"/>
          <w:sz w:val="24"/>
          <w:szCs w:val="24"/>
        </w:rPr>
        <w:lastRenderedPageBreak/>
        <w:t xml:space="preserve">account </w:t>
      </w:r>
      <w:r>
        <w:rPr>
          <w:bCs/>
          <w:snapToGrid w:val="0"/>
          <w:sz w:val="24"/>
          <w:szCs w:val="24"/>
        </w:rPr>
        <w:t xml:space="preserve">owned in trust </w:t>
      </w:r>
      <w:r w:rsidRPr="00814137">
        <w:rPr>
          <w:bCs/>
          <w:snapToGrid w:val="0"/>
          <w:sz w:val="24"/>
          <w:szCs w:val="24"/>
        </w:rPr>
        <w:t>and mandating the dissemination of trust records</w:t>
      </w:r>
      <w:r>
        <w:rPr>
          <w:bCs/>
          <w:snapToGrid w:val="0"/>
          <w:sz w:val="24"/>
          <w:szCs w:val="24"/>
        </w:rPr>
        <w:t>, the arbitrator exceeded her authority.</w:t>
      </w:r>
    </w:p>
    <w:p w14:paraId="3299CD08" w14:textId="77777777" w:rsidR="00F97804" w:rsidRPr="00F97804" w:rsidRDefault="00F97804" w:rsidP="00F97804">
      <w:pPr>
        <w:pStyle w:val="ListParagraph"/>
        <w:rPr>
          <w:bCs/>
          <w:snapToGrid w:val="0"/>
          <w:sz w:val="24"/>
          <w:szCs w:val="24"/>
        </w:rPr>
      </w:pPr>
    </w:p>
    <w:p w14:paraId="1DC38FF6" w14:textId="1809A6F2" w:rsidR="004F2375" w:rsidRPr="004F2375" w:rsidRDefault="004F2375" w:rsidP="004F2375">
      <w:pPr>
        <w:spacing w:line="480" w:lineRule="auto"/>
        <w:ind w:firstLine="720"/>
        <w:jc w:val="both"/>
        <w:rPr>
          <w:sz w:val="24"/>
          <w:szCs w:val="24"/>
        </w:rPr>
      </w:pPr>
      <w:r>
        <w:rPr>
          <w:sz w:val="24"/>
          <w:szCs w:val="24"/>
        </w:rPr>
        <w:t xml:space="preserve">In sum, there is good cause for a new trial or to modify the Final Judgment signed July 15, </w:t>
      </w:r>
      <w:proofErr w:type="gramStart"/>
      <w:r>
        <w:rPr>
          <w:sz w:val="24"/>
          <w:szCs w:val="24"/>
        </w:rPr>
        <w:t>2024</w:t>
      </w:r>
      <w:proofErr w:type="gramEnd"/>
      <w:r>
        <w:rPr>
          <w:sz w:val="24"/>
          <w:szCs w:val="24"/>
        </w:rPr>
        <w:t xml:space="preserve"> because the arbitrator exceeded her authority be ordering non-parties to the arbitration to “liquidate trust assets” and disregarding the jurisdictional deficiencies by rendering awards against parties not before the arbitrator and who had not agreed to arbitrate.</w:t>
      </w:r>
    </w:p>
    <w:p w14:paraId="0559FD4D" w14:textId="343CBBAE" w:rsidR="00695BDE" w:rsidRDefault="00695BDE" w:rsidP="00695BDE">
      <w:pPr>
        <w:pStyle w:val="ListParagraph"/>
        <w:numPr>
          <w:ilvl w:val="0"/>
          <w:numId w:val="1"/>
        </w:numPr>
        <w:jc w:val="both"/>
        <w:rPr>
          <w:b/>
          <w:bCs/>
          <w:i/>
          <w:iCs/>
          <w:sz w:val="24"/>
          <w:szCs w:val="24"/>
        </w:rPr>
      </w:pPr>
      <w:r>
        <w:rPr>
          <w:b/>
          <w:bCs/>
          <w:i/>
          <w:iCs/>
          <w:sz w:val="24"/>
          <w:szCs w:val="24"/>
        </w:rPr>
        <w:t>There Is Good Cause For A New Trial Or To Modify The Judgment Because The Arbitrator’s Award Miscalculates Interest</w:t>
      </w:r>
      <w:r w:rsidR="008F3FF6">
        <w:rPr>
          <w:b/>
          <w:bCs/>
          <w:i/>
          <w:iCs/>
          <w:sz w:val="24"/>
          <w:szCs w:val="24"/>
        </w:rPr>
        <w:t>.</w:t>
      </w:r>
    </w:p>
    <w:p w14:paraId="14AD3FE4" w14:textId="77777777" w:rsidR="008F3FF6" w:rsidRPr="008F3FF6" w:rsidRDefault="008F3FF6" w:rsidP="008F3FF6">
      <w:pPr>
        <w:pStyle w:val="ListParagraph"/>
        <w:rPr>
          <w:b/>
          <w:bCs/>
          <w:i/>
          <w:iCs/>
          <w:sz w:val="24"/>
          <w:szCs w:val="24"/>
        </w:rPr>
      </w:pPr>
    </w:p>
    <w:p w14:paraId="2765B87E" w14:textId="31BD7CB8" w:rsidR="00F97804" w:rsidRDefault="00F97804" w:rsidP="00F97804">
      <w:pPr>
        <w:spacing w:line="480" w:lineRule="auto"/>
        <w:ind w:firstLine="720"/>
        <w:jc w:val="both"/>
        <w:rPr>
          <w:sz w:val="24"/>
          <w:szCs w:val="24"/>
        </w:rPr>
      </w:pPr>
      <w:r>
        <w:rPr>
          <w:sz w:val="24"/>
          <w:szCs w:val="24"/>
        </w:rPr>
        <w:t>There is</w:t>
      </w:r>
      <w:r w:rsidR="003C1DBD">
        <w:rPr>
          <w:sz w:val="24"/>
          <w:szCs w:val="24"/>
        </w:rPr>
        <w:t xml:space="preserve"> also</w:t>
      </w:r>
      <w:r>
        <w:rPr>
          <w:sz w:val="24"/>
          <w:szCs w:val="24"/>
        </w:rPr>
        <w:t xml:space="preserve"> good cause to order a new trial, or modify the final judgment, because the award and judgment include a “material miscalculation” that may be modified without effecting the merits.  </w:t>
      </w:r>
      <w:r w:rsidRPr="00CA7101">
        <w:rPr>
          <w:sz w:val="24"/>
          <w:szCs w:val="24"/>
        </w:rPr>
        <w:t xml:space="preserve">9 U.S.C. § </w:t>
      </w:r>
      <w:r>
        <w:rPr>
          <w:sz w:val="24"/>
          <w:szCs w:val="24"/>
        </w:rPr>
        <w:t>11</w:t>
      </w:r>
      <w:r w:rsidRPr="00CA7101">
        <w:rPr>
          <w:sz w:val="24"/>
          <w:szCs w:val="24"/>
        </w:rPr>
        <w:t>(a)</w:t>
      </w:r>
      <w:r>
        <w:rPr>
          <w:sz w:val="24"/>
          <w:szCs w:val="24"/>
        </w:rPr>
        <w:t>-</w:t>
      </w:r>
      <w:r w:rsidRPr="00CA7101">
        <w:rPr>
          <w:sz w:val="24"/>
          <w:szCs w:val="24"/>
        </w:rPr>
        <w:t>(c); T</w:t>
      </w:r>
      <w:r>
        <w:rPr>
          <w:sz w:val="24"/>
          <w:szCs w:val="24"/>
        </w:rPr>
        <w:t>ex</w:t>
      </w:r>
      <w:r w:rsidRPr="00CA7101">
        <w:rPr>
          <w:sz w:val="24"/>
          <w:szCs w:val="24"/>
        </w:rPr>
        <w:t>. C</w:t>
      </w:r>
      <w:r>
        <w:rPr>
          <w:sz w:val="24"/>
          <w:szCs w:val="24"/>
        </w:rPr>
        <w:t>iv</w:t>
      </w:r>
      <w:r w:rsidRPr="00CA7101">
        <w:rPr>
          <w:sz w:val="24"/>
          <w:szCs w:val="24"/>
        </w:rPr>
        <w:t xml:space="preserve">. </w:t>
      </w:r>
      <w:proofErr w:type="spellStart"/>
      <w:r w:rsidRPr="00CA7101">
        <w:rPr>
          <w:sz w:val="24"/>
          <w:szCs w:val="24"/>
        </w:rPr>
        <w:t>P</w:t>
      </w:r>
      <w:r>
        <w:rPr>
          <w:sz w:val="24"/>
          <w:szCs w:val="24"/>
        </w:rPr>
        <w:t>rac</w:t>
      </w:r>
      <w:proofErr w:type="spellEnd"/>
      <w:r w:rsidRPr="00CA7101">
        <w:rPr>
          <w:sz w:val="24"/>
          <w:szCs w:val="24"/>
        </w:rPr>
        <w:t>. &amp; R</w:t>
      </w:r>
      <w:r>
        <w:rPr>
          <w:sz w:val="24"/>
          <w:szCs w:val="24"/>
        </w:rPr>
        <w:t xml:space="preserve">em. </w:t>
      </w:r>
      <w:r w:rsidRPr="00CA7101">
        <w:rPr>
          <w:sz w:val="24"/>
          <w:szCs w:val="24"/>
        </w:rPr>
        <w:t>C</w:t>
      </w:r>
      <w:r>
        <w:rPr>
          <w:sz w:val="24"/>
          <w:szCs w:val="24"/>
        </w:rPr>
        <w:t>ode</w:t>
      </w:r>
      <w:r w:rsidRPr="00CA7101">
        <w:rPr>
          <w:sz w:val="24"/>
          <w:szCs w:val="24"/>
        </w:rPr>
        <w:t xml:space="preserve"> § 171.091(a).</w:t>
      </w:r>
    </w:p>
    <w:p w14:paraId="046372CC" w14:textId="2A0794FA" w:rsidR="00F97804" w:rsidRDefault="003C1DBD" w:rsidP="00F97804">
      <w:pPr>
        <w:spacing w:line="480" w:lineRule="auto"/>
        <w:ind w:firstLine="720"/>
        <w:jc w:val="both"/>
        <w:rPr>
          <w:sz w:val="24"/>
          <w:szCs w:val="24"/>
        </w:rPr>
      </w:pPr>
      <w:r>
        <w:rPr>
          <w:sz w:val="24"/>
          <w:szCs w:val="24"/>
        </w:rPr>
        <w:t>As Richard and Caroline previously advised the Court, t</w:t>
      </w:r>
      <w:r w:rsidR="00F97804" w:rsidRPr="00CA7101">
        <w:rPr>
          <w:sz w:val="24"/>
          <w:szCs w:val="24"/>
        </w:rPr>
        <w:t xml:space="preserve">he </w:t>
      </w:r>
      <w:r w:rsidR="00F97804">
        <w:rPr>
          <w:sz w:val="24"/>
          <w:szCs w:val="24"/>
        </w:rPr>
        <w:t>arbitration a</w:t>
      </w:r>
      <w:r w:rsidR="00F97804" w:rsidRPr="00CA7101">
        <w:rPr>
          <w:sz w:val="24"/>
          <w:szCs w:val="24"/>
        </w:rPr>
        <w:t xml:space="preserve">wards </w:t>
      </w:r>
      <w:r w:rsidR="00F97804">
        <w:rPr>
          <w:sz w:val="24"/>
          <w:szCs w:val="24"/>
        </w:rPr>
        <w:t xml:space="preserve">and judgment </w:t>
      </w:r>
      <w:r w:rsidR="00F97804" w:rsidRPr="00CA7101">
        <w:rPr>
          <w:sz w:val="24"/>
          <w:szCs w:val="24"/>
        </w:rPr>
        <w:t>order prejudgment interest to begin on April</w:t>
      </w:r>
      <w:r w:rsidR="00F97804">
        <w:rPr>
          <w:sz w:val="24"/>
          <w:szCs w:val="24"/>
        </w:rPr>
        <w:t xml:space="preserve"> </w:t>
      </w:r>
      <w:r w:rsidR="00F97804" w:rsidRPr="00CA7101">
        <w:rPr>
          <w:sz w:val="24"/>
          <w:szCs w:val="24"/>
        </w:rPr>
        <w:t>13, 2021,</w:t>
      </w:r>
      <w:r w:rsidR="00F97804">
        <w:rPr>
          <w:rStyle w:val="FootnoteReference"/>
          <w:sz w:val="24"/>
          <w:szCs w:val="24"/>
        </w:rPr>
        <w:footnoteReference w:id="3"/>
      </w:r>
      <w:r w:rsidR="00F97804">
        <w:rPr>
          <w:sz w:val="24"/>
          <w:szCs w:val="24"/>
        </w:rPr>
        <w:t xml:space="preserve"> </w:t>
      </w:r>
      <w:r w:rsidR="00F97804" w:rsidRPr="00CA7101">
        <w:rPr>
          <w:sz w:val="24"/>
          <w:szCs w:val="24"/>
        </w:rPr>
        <w:t>the day</w:t>
      </w:r>
      <w:r w:rsidR="00F97804">
        <w:rPr>
          <w:sz w:val="24"/>
          <w:szCs w:val="24"/>
        </w:rPr>
        <w:t xml:space="preserve"> </w:t>
      </w:r>
      <w:r w:rsidR="00F97804" w:rsidRPr="00CA7101">
        <w:rPr>
          <w:sz w:val="24"/>
          <w:szCs w:val="24"/>
        </w:rPr>
        <w:t>before the MSA was signed after midnight</w:t>
      </w:r>
      <w:r w:rsidR="00F97804">
        <w:rPr>
          <w:sz w:val="24"/>
          <w:szCs w:val="24"/>
        </w:rPr>
        <w:t xml:space="preserve">.  </w:t>
      </w:r>
      <w:r w:rsidR="00F97804" w:rsidRPr="00F97804">
        <w:rPr>
          <w:sz w:val="24"/>
          <w:szCs w:val="24"/>
        </w:rPr>
        <w:t>There is no legal basis for prejudgment</w:t>
      </w:r>
      <w:r w:rsidR="00F97804">
        <w:rPr>
          <w:sz w:val="24"/>
          <w:szCs w:val="24"/>
        </w:rPr>
        <w:t xml:space="preserve"> </w:t>
      </w:r>
      <w:r w:rsidR="00F97804" w:rsidRPr="00F97804">
        <w:rPr>
          <w:sz w:val="24"/>
          <w:szCs w:val="24"/>
        </w:rPr>
        <w:t>interest to begin on that date.</w:t>
      </w:r>
      <w:r>
        <w:rPr>
          <w:sz w:val="24"/>
          <w:szCs w:val="24"/>
        </w:rPr>
        <w:t xml:space="preserve"> T</w:t>
      </w:r>
      <w:r w:rsidR="00F97804" w:rsidRPr="00F97804">
        <w:rPr>
          <w:sz w:val="24"/>
          <w:szCs w:val="24"/>
        </w:rPr>
        <w:t>he Interim Award makes clear that the parties</w:t>
      </w:r>
      <w:r w:rsidR="00F97804">
        <w:rPr>
          <w:sz w:val="24"/>
          <w:szCs w:val="24"/>
        </w:rPr>
        <w:t xml:space="preserve"> </w:t>
      </w:r>
      <w:r w:rsidR="00F97804" w:rsidRPr="00F97804">
        <w:rPr>
          <w:sz w:val="24"/>
          <w:szCs w:val="24"/>
        </w:rPr>
        <w:t xml:space="preserve">agreed that </w:t>
      </w:r>
      <w:r w:rsidR="00F97804">
        <w:rPr>
          <w:sz w:val="24"/>
          <w:szCs w:val="24"/>
        </w:rPr>
        <w:t>“</w:t>
      </w:r>
      <w:r w:rsidR="00F97804" w:rsidRPr="00F97804">
        <w:rPr>
          <w:sz w:val="24"/>
          <w:szCs w:val="24"/>
        </w:rPr>
        <w:t>Texas substantive law governs the parties' claims and defenses</w:t>
      </w:r>
      <w:r w:rsidR="00F97804">
        <w:rPr>
          <w:sz w:val="24"/>
          <w:szCs w:val="24"/>
        </w:rPr>
        <w:t xml:space="preserve">.” </w:t>
      </w:r>
      <w:r w:rsidR="00F97804" w:rsidRPr="00F97804">
        <w:rPr>
          <w:sz w:val="24"/>
          <w:szCs w:val="24"/>
        </w:rPr>
        <w:t xml:space="preserve">Therefore, the Arbitrator only had the power to correctly apply Texas law. </w:t>
      </w:r>
      <w:r w:rsidR="00F97804">
        <w:rPr>
          <w:i/>
          <w:iCs/>
          <w:sz w:val="24"/>
          <w:szCs w:val="24"/>
        </w:rPr>
        <w:t xml:space="preserve">See </w:t>
      </w:r>
      <w:proofErr w:type="spellStart"/>
      <w:r w:rsidR="00F97804" w:rsidRPr="00F97804">
        <w:rPr>
          <w:i/>
          <w:iCs/>
          <w:sz w:val="24"/>
          <w:szCs w:val="24"/>
        </w:rPr>
        <w:t>Nafta</w:t>
      </w:r>
      <w:proofErr w:type="spellEnd"/>
      <w:r w:rsidR="00F97804" w:rsidRPr="00F97804">
        <w:rPr>
          <w:i/>
          <w:iCs/>
          <w:sz w:val="24"/>
          <w:szCs w:val="24"/>
        </w:rPr>
        <w:t xml:space="preserve"> Traders, Inc. v. Quinn</w:t>
      </w:r>
      <w:r w:rsidR="00F97804" w:rsidRPr="00F97804">
        <w:rPr>
          <w:sz w:val="24"/>
          <w:szCs w:val="24"/>
        </w:rPr>
        <w:t xml:space="preserve">, 339 S.W.3d 84, </w:t>
      </w:r>
      <w:r w:rsidR="00F97804">
        <w:rPr>
          <w:sz w:val="24"/>
          <w:szCs w:val="24"/>
        </w:rPr>
        <w:t>101-02</w:t>
      </w:r>
      <w:r w:rsidR="00F97804" w:rsidRPr="00F97804">
        <w:rPr>
          <w:sz w:val="24"/>
          <w:szCs w:val="24"/>
        </w:rPr>
        <w:t xml:space="preserve"> (Tex. 2011). Under Texas law, </w:t>
      </w:r>
      <w:r w:rsidR="00F97804">
        <w:rPr>
          <w:sz w:val="24"/>
          <w:szCs w:val="24"/>
        </w:rPr>
        <w:t>“</w:t>
      </w:r>
      <w:r w:rsidR="00F97804" w:rsidRPr="00F97804">
        <w:rPr>
          <w:sz w:val="24"/>
          <w:szCs w:val="24"/>
        </w:rPr>
        <w:t>prejudgment interest awarded</w:t>
      </w:r>
      <w:r w:rsidR="00F97804">
        <w:rPr>
          <w:sz w:val="24"/>
          <w:szCs w:val="24"/>
        </w:rPr>
        <w:t xml:space="preserve"> </w:t>
      </w:r>
      <w:r w:rsidR="00F97804" w:rsidRPr="00F97804">
        <w:rPr>
          <w:sz w:val="24"/>
          <w:szCs w:val="24"/>
        </w:rPr>
        <w:t>under common law should conform to the statutory accrual and compounding</w:t>
      </w:r>
      <w:r w:rsidR="00F97804">
        <w:rPr>
          <w:sz w:val="24"/>
          <w:szCs w:val="24"/>
        </w:rPr>
        <w:t xml:space="preserve"> </w:t>
      </w:r>
      <w:r w:rsidR="00F97804" w:rsidRPr="00F97804">
        <w:rPr>
          <w:sz w:val="24"/>
          <w:szCs w:val="24"/>
        </w:rPr>
        <w:t>formulas applicable to suits for wrongful death, personal injury, and property</w:t>
      </w:r>
      <w:r w:rsidR="00F97804">
        <w:rPr>
          <w:sz w:val="24"/>
          <w:szCs w:val="24"/>
        </w:rPr>
        <w:t xml:space="preserve"> </w:t>
      </w:r>
      <w:r w:rsidR="00F97804" w:rsidRPr="00F97804">
        <w:rPr>
          <w:sz w:val="24"/>
          <w:szCs w:val="24"/>
        </w:rPr>
        <w:t>damages.</w:t>
      </w:r>
      <w:r w:rsidR="00F97804">
        <w:rPr>
          <w:sz w:val="24"/>
          <w:szCs w:val="24"/>
        </w:rPr>
        <w:t>”</w:t>
      </w:r>
      <w:r w:rsidR="00F97804" w:rsidRPr="00F97804">
        <w:rPr>
          <w:sz w:val="24"/>
          <w:szCs w:val="24"/>
        </w:rPr>
        <w:t xml:space="preserve"> </w:t>
      </w:r>
      <w:r w:rsidR="00F97804" w:rsidRPr="00F97804">
        <w:rPr>
          <w:i/>
          <w:iCs/>
          <w:sz w:val="24"/>
          <w:szCs w:val="24"/>
        </w:rPr>
        <w:t>De La Garza v. De La Garza</w:t>
      </w:r>
      <w:r w:rsidR="00F97804" w:rsidRPr="00F97804">
        <w:rPr>
          <w:sz w:val="24"/>
          <w:szCs w:val="24"/>
        </w:rPr>
        <w:t>, 185 S.W.3d 924,928 (Tex. App.</w:t>
      </w:r>
      <w:r w:rsidR="00F97804">
        <w:rPr>
          <w:sz w:val="24"/>
          <w:szCs w:val="24"/>
        </w:rPr>
        <w:t>—</w:t>
      </w:r>
      <w:r w:rsidR="00F97804" w:rsidRPr="00F97804">
        <w:rPr>
          <w:sz w:val="24"/>
          <w:szCs w:val="24"/>
        </w:rPr>
        <w:t>Dallas 2006,</w:t>
      </w:r>
      <w:r w:rsidR="00F97804">
        <w:rPr>
          <w:sz w:val="24"/>
          <w:szCs w:val="24"/>
        </w:rPr>
        <w:t xml:space="preserve"> </w:t>
      </w:r>
      <w:r w:rsidR="00F97804" w:rsidRPr="00F97804">
        <w:rPr>
          <w:sz w:val="24"/>
          <w:szCs w:val="24"/>
        </w:rPr>
        <w:t xml:space="preserve">no pet.). Under that statute, </w:t>
      </w:r>
      <w:r>
        <w:rPr>
          <w:sz w:val="24"/>
          <w:szCs w:val="24"/>
        </w:rPr>
        <w:t>“</w:t>
      </w:r>
      <w:r w:rsidR="00F97804" w:rsidRPr="00F97804">
        <w:rPr>
          <w:sz w:val="24"/>
          <w:szCs w:val="24"/>
        </w:rPr>
        <w:t>'prejudgment interest accrues on the amount of a</w:t>
      </w:r>
      <w:r w:rsidR="00F97804">
        <w:rPr>
          <w:sz w:val="24"/>
          <w:szCs w:val="24"/>
        </w:rPr>
        <w:t xml:space="preserve"> </w:t>
      </w:r>
      <w:r w:rsidR="00F97804" w:rsidRPr="00F97804">
        <w:rPr>
          <w:sz w:val="24"/>
          <w:szCs w:val="24"/>
        </w:rPr>
        <w:t>judgment during the period beginning on the earlier of the 180th day after the date</w:t>
      </w:r>
      <w:r w:rsidR="00F97804">
        <w:rPr>
          <w:sz w:val="24"/>
          <w:szCs w:val="24"/>
        </w:rPr>
        <w:t xml:space="preserve"> </w:t>
      </w:r>
      <w:r w:rsidR="00F97804" w:rsidRPr="00F97804">
        <w:rPr>
          <w:sz w:val="24"/>
          <w:szCs w:val="24"/>
        </w:rPr>
        <w:t xml:space="preserve">the defendant receives written notice of a claim or the date </w:t>
      </w:r>
      <w:r w:rsidR="00F97804" w:rsidRPr="00F97804">
        <w:rPr>
          <w:sz w:val="24"/>
          <w:szCs w:val="24"/>
        </w:rPr>
        <w:lastRenderedPageBreak/>
        <w:t>the suit is filed and ending</w:t>
      </w:r>
      <w:r w:rsidR="00F97804">
        <w:rPr>
          <w:sz w:val="24"/>
          <w:szCs w:val="24"/>
        </w:rPr>
        <w:t xml:space="preserve"> </w:t>
      </w:r>
      <w:r w:rsidR="00F97804" w:rsidRPr="00F97804">
        <w:rPr>
          <w:sz w:val="24"/>
          <w:szCs w:val="24"/>
        </w:rPr>
        <w:t>on the day preceding the date judgment is rendered.</w:t>
      </w:r>
      <w:r>
        <w:rPr>
          <w:sz w:val="24"/>
          <w:szCs w:val="24"/>
        </w:rPr>
        <w:t>”</w:t>
      </w:r>
      <w:r w:rsidR="00F97804" w:rsidRPr="00F97804">
        <w:rPr>
          <w:sz w:val="24"/>
          <w:szCs w:val="24"/>
        </w:rPr>
        <w:t xml:space="preserve"> T</w:t>
      </w:r>
      <w:r w:rsidR="00F97804">
        <w:rPr>
          <w:sz w:val="24"/>
          <w:szCs w:val="24"/>
        </w:rPr>
        <w:t>ex</w:t>
      </w:r>
      <w:r w:rsidR="00F97804" w:rsidRPr="00F97804">
        <w:rPr>
          <w:sz w:val="24"/>
          <w:szCs w:val="24"/>
        </w:rPr>
        <w:t>. F</w:t>
      </w:r>
      <w:r w:rsidR="00F97804">
        <w:rPr>
          <w:sz w:val="24"/>
          <w:szCs w:val="24"/>
        </w:rPr>
        <w:t>in</w:t>
      </w:r>
      <w:r w:rsidR="00F97804" w:rsidRPr="00F97804">
        <w:rPr>
          <w:sz w:val="24"/>
          <w:szCs w:val="24"/>
        </w:rPr>
        <w:t>. C</w:t>
      </w:r>
      <w:r w:rsidR="00F97804">
        <w:rPr>
          <w:sz w:val="24"/>
          <w:szCs w:val="24"/>
        </w:rPr>
        <w:t xml:space="preserve">ode </w:t>
      </w:r>
      <w:r w:rsidR="00F97804" w:rsidRPr="00F97804">
        <w:rPr>
          <w:sz w:val="24"/>
          <w:szCs w:val="24"/>
        </w:rPr>
        <w:t>§ 304.104. A</w:t>
      </w:r>
      <w:r w:rsidR="00F97804">
        <w:rPr>
          <w:sz w:val="24"/>
          <w:szCs w:val="24"/>
        </w:rPr>
        <w:t xml:space="preserve"> </w:t>
      </w:r>
      <w:r w:rsidR="00F97804" w:rsidRPr="00F97804">
        <w:rPr>
          <w:sz w:val="24"/>
          <w:szCs w:val="24"/>
        </w:rPr>
        <w:t xml:space="preserve">trial court abuses its discretion by awarding prejudgment interest </w:t>
      </w:r>
      <w:r>
        <w:rPr>
          <w:sz w:val="24"/>
          <w:szCs w:val="24"/>
        </w:rPr>
        <w:t>“</w:t>
      </w:r>
      <w:r w:rsidR="00F97804" w:rsidRPr="00F97804">
        <w:rPr>
          <w:sz w:val="24"/>
          <w:szCs w:val="24"/>
        </w:rPr>
        <w:t>using the wrong</w:t>
      </w:r>
      <w:r w:rsidR="00F97804">
        <w:rPr>
          <w:sz w:val="24"/>
          <w:szCs w:val="24"/>
        </w:rPr>
        <w:t xml:space="preserve"> </w:t>
      </w:r>
      <w:r w:rsidR="00F97804" w:rsidRPr="00F97804">
        <w:rPr>
          <w:sz w:val="24"/>
          <w:szCs w:val="24"/>
        </w:rPr>
        <w:t>accrual date.</w:t>
      </w:r>
      <w:r>
        <w:rPr>
          <w:sz w:val="24"/>
          <w:szCs w:val="24"/>
        </w:rPr>
        <w:t>”</w:t>
      </w:r>
      <w:r w:rsidR="00F97804" w:rsidRPr="00F97804">
        <w:rPr>
          <w:sz w:val="24"/>
          <w:szCs w:val="24"/>
        </w:rPr>
        <w:t xml:space="preserve"> </w:t>
      </w:r>
      <w:r w:rsidR="00F97804" w:rsidRPr="00F97804">
        <w:rPr>
          <w:i/>
          <w:iCs/>
          <w:sz w:val="24"/>
          <w:szCs w:val="24"/>
        </w:rPr>
        <w:t>City of San Antonio v. El Dorado Amusement Co</w:t>
      </w:r>
      <w:r w:rsidR="00F97804" w:rsidRPr="00F97804">
        <w:rPr>
          <w:sz w:val="24"/>
          <w:szCs w:val="24"/>
        </w:rPr>
        <w:t>., 195 S.W.3d 238, 248</w:t>
      </w:r>
      <w:r w:rsidR="00F97804">
        <w:rPr>
          <w:sz w:val="24"/>
          <w:szCs w:val="24"/>
        </w:rPr>
        <w:t xml:space="preserve"> </w:t>
      </w:r>
      <w:r w:rsidR="00F97804" w:rsidRPr="00F97804">
        <w:rPr>
          <w:sz w:val="24"/>
          <w:szCs w:val="24"/>
        </w:rPr>
        <w:t>(Tex. App.</w:t>
      </w:r>
      <w:r w:rsidR="00F97804">
        <w:rPr>
          <w:sz w:val="24"/>
          <w:szCs w:val="24"/>
        </w:rPr>
        <w:t>—</w:t>
      </w:r>
      <w:r w:rsidR="00F97804" w:rsidRPr="00F97804">
        <w:rPr>
          <w:sz w:val="24"/>
          <w:szCs w:val="24"/>
        </w:rPr>
        <w:t>San Antonio 2006, pet. denied).</w:t>
      </w:r>
    </w:p>
    <w:p w14:paraId="4EF8DA39" w14:textId="37BB9706" w:rsidR="00F97804" w:rsidRPr="00CA7101" w:rsidRDefault="00F97804" w:rsidP="00525864">
      <w:pPr>
        <w:spacing w:line="480" w:lineRule="auto"/>
        <w:ind w:firstLine="720"/>
        <w:jc w:val="both"/>
        <w:rPr>
          <w:sz w:val="24"/>
          <w:szCs w:val="24"/>
        </w:rPr>
      </w:pPr>
      <w:r w:rsidRPr="00F97804">
        <w:rPr>
          <w:sz w:val="24"/>
          <w:szCs w:val="24"/>
        </w:rPr>
        <w:t>The earliest date Caroline and Rich</w:t>
      </w:r>
      <w:r>
        <w:rPr>
          <w:sz w:val="24"/>
          <w:szCs w:val="24"/>
        </w:rPr>
        <w:t>ard</w:t>
      </w:r>
      <w:r w:rsidRPr="00F97804">
        <w:rPr>
          <w:sz w:val="24"/>
          <w:szCs w:val="24"/>
        </w:rPr>
        <w:t xml:space="preserve"> received written notice of the claim was on</w:t>
      </w:r>
      <w:r>
        <w:rPr>
          <w:sz w:val="24"/>
          <w:szCs w:val="24"/>
        </w:rPr>
        <w:t xml:space="preserve"> </w:t>
      </w:r>
      <w:r w:rsidRPr="00F97804">
        <w:rPr>
          <w:sz w:val="24"/>
          <w:szCs w:val="24"/>
        </w:rPr>
        <w:t xml:space="preserve">December 7, 2021, when </w:t>
      </w:r>
      <w:r w:rsidR="003C1DBD">
        <w:rPr>
          <w:sz w:val="24"/>
          <w:szCs w:val="24"/>
        </w:rPr>
        <w:t xml:space="preserve">Defendants </w:t>
      </w:r>
      <w:r w:rsidRPr="00F97804">
        <w:rPr>
          <w:sz w:val="24"/>
          <w:szCs w:val="24"/>
        </w:rPr>
        <w:t>filed the intervention in the underlying probate</w:t>
      </w:r>
      <w:r>
        <w:rPr>
          <w:sz w:val="24"/>
          <w:szCs w:val="24"/>
        </w:rPr>
        <w:t xml:space="preserve"> </w:t>
      </w:r>
      <w:r w:rsidRPr="00F97804">
        <w:rPr>
          <w:sz w:val="24"/>
          <w:szCs w:val="24"/>
        </w:rPr>
        <w:t>proceedings.</w:t>
      </w:r>
      <w:r>
        <w:rPr>
          <w:rStyle w:val="FootnoteReference"/>
          <w:sz w:val="24"/>
          <w:szCs w:val="24"/>
        </w:rPr>
        <w:footnoteReference w:id="4"/>
      </w:r>
      <w:r w:rsidRPr="00F97804">
        <w:rPr>
          <w:sz w:val="24"/>
          <w:szCs w:val="24"/>
        </w:rPr>
        <w:t xml:space="preserve"> However, Caroline and Rich</w:t>
      </w:r>
      <w:r w:rsidR="00141402">
        <w:rPr>
          <w:sz w:val="24"/>
          <w:szCs w:val="24"/>
        </w:rPr>
        <w:t>ard</w:t>
      </w:r>
      <w:r w:rsidRPr="00F97804">
        <w:rPr>
          <w:sz w:val="24"/>
          <w:szCs w:val="24"/>
        </w:rPr>
        <w:t xml:space="preserve"> did not receive an accounting and</w:t>
      </w:r>
      <w:r>
        <w:rPr>
          <w:sz w:val="24"/>
          <w:szCs w:val="24"/>
        </w:rPr>
        <w:t xml:space="preserve"> </w:t>
      </w:r>
      <w:r w:rsidRPr="00F97804">
        <w:rPr>
          <w:sz w:val="24"/>
          <w:szCs w:val="24"/>
        </w:rPr>
        <w:t>calculation of the fees allegedly owed until August 17, 2023,</w:t>
      </w:r>
      <w:r>
        <w:rPr>
          <w:rStyle w:val="FootnoteReference"/>
          <w:sz w:val="24"/>
          <w:szCs w:val="24"/>
        </w:rPr>
        <w:footnoteReference w:id="5"/>
      </w:r>
      <w:r w:rsidRPr="00F97804">
        <w:rPr>
          <w:sz w:val="24"/>
          <w:szCs w:val="24"/>
        </w:rPr>
        <w:t xml:space="preserve"> after the Arbitrator</w:t>
      </w:r>
      <w:r>
        <w:rPr>
          <w:sz w:val="24"/>
          <w:szCs w:val="24"/>
        </w:rPr>
        <w:t xml:space="preserve"> </w:t>
      </w:r>
      <w:r w:rsidRPr="00F97804">
        <w:rPr>
          <w:sz w:val="24"/>
          <w:szCs w:val="24"/>
        </w:rPr>
        <w:t xml:space="preserve">ordered the </w:t>
      </w:r>
      <w:r w:rsidR="00141402">
        <w:rPr>
          <w:sz w:val="24"/>
          <w:szCs w:val="24"/>
        </w:rPr>
        <w:t xml:space="preserve">Defendants </w:t>
      </w:r>
      <w:r w:rsidRPr="00F97804">
        <w:rPr>
          <w:sz w:val="24"/>
          <w:szCs w:val="24"/>
        </w:rPr>
        <w:t>to provide a settlement statement in accordance with their</w:t>
      </w:r>
      <w:r>
        <w:rPr>
          <w:sz w:val="24"/>
          <w:szCs w:val="24"/>
        </w:rPr>
        <w:t xml:space="preserve"> </w:t>
      </w:r>
      <w:r w:rsidRPr="00F97804">
        <w:rPr>
          <w:sz w:val="24"/>
          <w:szCs w:val="24"/>
        </w:rPr>
        <w:t>fiduciary obligations. That accounting demonstrated that the December 7, 2021,</w:t>
      </w:r>
      <w:r>
        <w:rPr>
          <w:sz w:val="24"/>
          <w:szCs w:val="24"/>
        </w:rPr>
        <w:t xml:space="preserve"> </w:t>
      </w:r>
      <w:r w:rsidRPr="00F97804">
        <w:rPr>
          <w:sz w:val="24"/>
          <w:szCs w:val="24"/>
        </w:rPr>
        <w:t>demand was inaccurate and sought $730,000 more from than what was</w:t>
      </w:r>
      <w:r>
        <w:rPr>
          <w:sz w:val="24"/>
          <w:szCs w:val="24"/>
        </w:rPr>
        <w:t xml:space="preserve"> </w:t>
      </w:r>
      <w:proofErr w:type="gramStart"/>
      <w:r w:rsidRPr="00F97804">
        <w:rPr>
          <w:sz w:val="24"/>
          <w:szCs w:val="24"/>
        </w:rPr>
        <w:t>actually owed</w:t>
      </w:r>
      <w:proofErr w:type="gramEnd"/>
      <w:r w:rsidRPr="00F97804">
        <w:rPr>
          <w:sz w:val="24"/>
          <w:szCs w:val="24"/>
        </w:rPr>
        <w:t>.</w:t>
      </w:r>
      <w:r>
        <w:rPr>
          <w:rStyle w:val="FootnoteReference"/>
          <w:sz w:val="24"/>
          <w:szCs w:val="24"/>
        </w:rPr>
        <w:footnoteReference w:id="6"/>
      </w:r>
      <w:r w:rsidRPr="00F97804">
        <w:rPr>
          <w:sz w:val="24"/>
          <w:szCs w:val="24"/>
        </w:rPr>
        <w:t xml:space="preserve"> The Arbitrator should not have award</w:t>
      </w:r>
      <w:r w:rsidR="00141402">
        <w:rPr>
          <w:sz w:val="24"/>
          <w:szCs w:val="24"/>
        </w:rPr>
        <w:t>ed</w:t>
      </w:r>
      <w:r w:rsidRPr="00F97804">
        <w:rPr>
          <w:sz w:val="24"/>
          <w:szCs w:val="24"/>
        </w:rPr>
        <w:t xml:space="preserve"> pre-judgment interest befor</w:t>
      </w:r>
      <w:r w:rsidR="00525864">
        <w:rPr>
          <w:sz w:val="24"/>
          <w:szCs w:val="24"/>
        </w:rPr>
        <w:t xml:space="preserve">e </w:t>
      </w:r>
      <w:r w:rsidRPr="00F97804">
        <w:rPr>
          <w:sz w:val="24"/>
          <w:szCs w:val="24"/>
        </w:rPr>
        <w:t>August 17, 2023, when the settlement statement and accounting identifying the</w:t>
      </w:r>
      <w:r w:rsidR="00525864">
        <w:rPr>
          <w:sz w:val="24"/>
          <w:szCs w:val="24"/>
        </w:rPr>
        <w:t xml:space="preserve"> </w:t>
      </w:r>
      <w:r w:rsidRPr="00F97804">
        <w:rPr>
          <w:sz w:val="24"/>
          <w:szCs w:val="24"/>
        </w:rPr>
        <w:t>amounts actually owed was produced. But if an earlier date was to be selected, the</w:t>
      </w:r>
      <w:r w:rsidR="00525864">
        <w:rPr>
          <w:sz w:val="24"/>
          <w:szCs w:val="24"/>
        </w:rPr>
        <w:t xml:space="preserve"> </w:t>
      </w:r>
      <w:r w:rsidRPr="00F97804">
        <w:rPr>
          <w:sz w:val="24"/>
          <w:szCs w:val="24"/>
        </w:rPr>
        <w:t>Arbitrator was required to use December 7, 2021, when the notice of the claim was</w:t>
      </w:r>
      <w:r w:rsidR="00525864">
        <w:rPr>
          <w:sz w:val="24"/>
          <w:szCs w:val="24"/>
        </w:rPr>
        <w:t xml:space="preserve"> </w:t>
      </w:r>
      <w:r w:rsidRPr="00F97804">
        <w:rPr>
          <w:sz w:val="24"/>
          <w:szCs w:val="24"/>
        </w:rPr>
        <w:t>made, not the day before the MSA was even signed</w:t>
      </w:r>
      <w:r w:rsidR="00525864">
        <w:rPr>
          <w:rStyle w:val="FootnoteReference"/>
          <w:sz w:val="24"/>
          <w:szCs w:val="24"/>
        </w:rPr>
        <w:footnoteReference w:id="7"/>
      </w:r>
      <w:r w:rsidRPr="00F97804">
        <w:rPr>
          <w:sz w:val="24"/>
          <w:szCs w:val="24"/>
        </w:rPr>
        <w:t xml:space="preserve"> or approved by a court.</w:t>
      </w:r>
      <w:r w:rsidR="00525864">
        <w:rPr>
          <w:rStyle w:val="FootnoteReference"/>
          <w:sz w:val="24"/>
          <w:szCs w:val="24"/>
        </w:rPr>
        <w:footnoteReference w:id="8"/>
      </w:r>
      <w:r w:rsidRPr="00F97804">
        <w:rPr>
          <w:sz w:val="24"/>
          <w:szCs w:val="24"/>
        </w:rPr>
        <w:t xml:space="preserve"> </w:t>
      </w:r>
      <w:r w:rsidRPr="00141402">
        <w:rPr>
          <w:i/>
          <w:iCs/>
          <w:sz w:val="24"/>
          <w:szCs w:val="24"/>
        </w:rPr>
        <w:t>See</w:t>
      </w:r>
      <w:r w:rsidR="00525864">
        <w:rPr>
          <w:sz w:val="24"/>
          <w:szCs w:val="24"/>
        </w:rPr>
        <w:t xml:space="preserve"> Tex. Fin. Code § 304.104.  </w:t>
      </w:r>
      <w:r w:rsidR="00525864" w:rsidRPr="00525864">
        <w:rPr>
          <w:sz w:val="24"/>
          <w:szCs w:val="24"/>
        </w:rPr>
        <w:t>Because the Arbitrator disregarded Texas law in violation</w:t>
      </w:r>
      <w:r w:rsidR="00525864">
        <w:rPr>
          <w:sz w:val="24"/>
          <w:szCs w:val="24"/>
        </w:rPr>
        <w:t xml:space="preserve"> </w:t>
      </w:r>
      <w:r w:rsidR="00525864" w:rsidRPr="00525864">
        <w:rPr>
          <w:sz w:val="24"/>
          <w:szCs w:val="24"/>
        </w:rPr>
        <w:t xml:space="preserve">of the arbitration agreement, she exceeded her powers, </w:t>
      </w:r>
      <w:r w:rsidR="00525864">
        <w:rPr>
          <w:sz w:val="24"/>
          <w:szCs w:val="24"/>
        </w:rPr>
        <w:t>there is good cause for a new trial or to modify the awards and judgment.</w:t>
      </w:r>
    </w:p>
    <w:p w14:paraId="755F2921" w14:textId="3ED2F341" w:rsidR="00050A3A" w:rsidRDefault="00695BDE" w:rsidP="00050A3A">
      <w:pPr>
        <w:pStyle w:val="ListParagraph"/>
        <w:numPr>
          <w:ilvl w:val="0"/>
          <w:numId w:val="1"/>
        </w:numPr>
        <w:jc w:val="both"/>
        <w:rPr>
          <w:b/>
          <w:bCs/>
          <w:i/>
          <w:iCs/>
          <w:sz w:val="24"/>
          <w:szCs w:val="24"/>
        </w:rPr>
      </w:pPr>
      <w:r>
        <w:rPr>
          <w:b/>
          <w:bCs/>
          <w:i/>
          <w:iCs/>
          <w:sz w:val="24"/>
          <w:szCs w:val="24"/>
        </w:rPr>
        <w:t xml:space="preserve">There Is Good Cause To Modify The Judgment Because </w:t>
      </w:r>
      <w:r w:rsidR="00525864">
        <w:rPr>
          <w:b/>
          <w:bCs/>
          <w:i/>
          <w:iCs/>
          <w:sz w:val="24"/>
          <w:szCs w:val="24"/>
        </w:rPr>
        <w:t xml:space="preserve">Post-Judgment Discovery Ordered By The Arbitrator And Court </w:t>
      </w:r>
      <w:r w:rsidR="001B32E2">
        <w:rPr>
          <w:b/>
          <w:bCs/>
          <w:i/>
          <w:iCs/>
          <w:sz w:val="24"/>
          <w:szCs w:val="24"/>
        </w:rPr>
        <w:t xml:space="preserve">Violates Texas’s Discovery Rules.  </w:t>
      </w:r>
      <w:r w:rsidR="0011682E">
        <w:rPr>
          <w:b/>
          <w:bCs/>
          <w:i/>
          <w:iCs/>
          <w:sz w:val="24"/>
          <w:szCs w:val="24"/>
        </w:rPr>
        <w:t xml:space="preserve">  </w:t>
      </w:r>
    </w:p>
    <w:p w14:paraId="4243DB54" w14:textId="77777777" w:rsidR="00050A3A" w:rsidRDefault="00050A3A" w:rsidP="00050A3A">
      <w:pPr>
        <w:jc w:val="both"/>
        <w:rPr>
          <w:b/>
          <w:bCs/>
          <w:i/>
          <w:iCs/>
          <w:sz w:val="24"/>
          <w:szCs w:val="24"/>
        </w:rPr>
      </w:pPr>
    </w:p>
    <w:p w14:paraId="5EE0AD46" w14:textId="253C8F8C" w:rsidR="0011682E" w:rsidRDefault="0011682E" w:rsidP="009E4B63">
      <w:pPr>
        <w:spacing w:line="480" w:lineRule="auto"/>
        <w:ind w:firstLine="720"/>
        <w:contextualSpacing/>
        <w:jc w:val="both"/>
        <w:rPr>
          <w:sz w:val="24"/>
          <w:szCs w:val="24"/>
        </w:rPr>
      </w:pPr>
      <w:r>
        <w:rPr>
          <w:sz w:val="24"/>
          <w:szCs w:val="24"/>
        </w:rPr>
        <w:t>Paragraph 11 of the judgment provides:</w:t>
      </w:r>
    </w:p>
    <w:p w14:paraId="1BD9433A" w14:textId="72609148" w:rsidR="00050A3A" w:rsidRDefault="001B32E2" w:rsidP="008C01B4">
      <w:pPr>
        <w:ind w:left="720" w:right="720"/>
        <w:contextualSpacing/>
        <w:jc w:val="both"/>
        <w:rPr>
          <w:sz w:val="24"/>
          <w:szCs w:val="24"/>
        </w:rPr>
      </w:pPr>
      <w:r>
        <w:rPr>
          <w:sz w:val="24"/>
          <w:szCs w:val="24"/>
        </w:rPr>
        <w:t xml:space="preserve">… </w:t>
      </w:r>
      <w:r w:rsidR="0011682E">
        <w:rPr>
          <w:sz w:val="24"/>
          <w:szCs w:val="24"/>
        </w:rPr>
        <w:t xml:space="preserve">In order to ensure compliance with this Final Judgment, and to prevent any withdrawals or disbursements in violation of this Final Judgment, Mr. Allison and </w:t>
      </w:r>
      <w:r w:rsidR="0011682E">
        <w:rPr>
          <w:sz w:val="24"/>
          <w:szCs w:val="24"/>
        </w:rPr>
        <w:lastRenderedPageBreak/>
        <w:t xml:space="preserve">Ms. Allison are both ordered </w:t>
      </w:r>
      <w:r w:rsidR="009E4B63" w:rsidRPr="009E4B63">
        <w:rPr>
          <w:sz w:val="24"/>
          <w:szCs w:val="24"/>
        </w:rPr>
        <w:t>(1) to provide to appropriate</w:t>
      </w:r>
      <w:r w:rsidR="009E4B63">
        <w:rPr>
          <w:sz w:val="24"/>
          <w:szCs w:val="24"/>
        </w:rPr>
        <w:t xml:space="preserve"> </w:t>
      </w:r>
      <w:r w:rsidR="009E4B63" w:rsidRPr="009E4B63">
        <w:rPr>
          <w:sz w:val="24"/>
          <w:szCs w:val="24"/>
        </w:rPr>
        <w:t xml:space="preserve">personnel at Charles Schwab One a copy of this </w:t>
      </w:r>
      <w:r w:rsidR="009E4B63">
        <w:rPr>
          <w:sz w:val="24"/>
          <w:szCs w:val="24"/>
        </w:rPr>
        <w:t xml:space="preserve">Final Judgment with all exhibits, and </w:t>
      </w:r>
      <w:r w:rsidR="009E4B63" w:rsidRPr="009E4B63">
        <w:rPr>
          <w:sz w:val="24"/>
          <w:szCs w:val="24"/>
        </w:rPr>
        <w:t xml:space="preserve">(2) to provide to </w:t>
      </w:r>
      <w:r w:rsidR="009E4B63">
        <w:rPr>
          <w:sz w:val="24"/>
          <w:szCs w:val="24"/>
        </w:rPr>
        <w:t>Defendants’</w:t>
      </w:r>
      <w:r w:rsidR="009E4B63" w:rsidRPr="009E4B63">
        <w:rPr>
          <w:sz w:val="24"/>
          <w:szCs w:val="24"/>
        </w:rPr>
        <w:t xml:space="preserve"> counsel, Joseph R. Little, each monthly statement for the Charles Schwab</w:t>
      </w:r>
      <w:r w:rsidR="009E4B63">
        <w:rPr>
          <w:sz w:val="24"/>
          <w:szCs w:val="24"/>
        </w:rPr>
        <w:t xml:space="preserve"> One account within five business days of the date of each statement, until this Final Judgment and all accrued interest have been paid in full.”</w:t>
      </w:r>
    </w:p>
    <w:p w14:paraId="614EE108" w14:textId="77777777" w:rsidR="008C01B4" w:rsidRDefault="008C01B4" w:rsidP="008C01B4">
      <w:pPr>
        <w:ind w:left="720" w:right="720"/>
        <w:contextualSpacing/>
        <w:jc w:val="both"/>
        <w:rPr>
          <w:sz w:val="24"/>
          <w:szCs w:val="24"/>
        </w:rPr>
      </w:pPr>
    </w:p>
    <w:p w14:paraId="3A49BFB6" w14:textId="7D093DD9" w:rsidR="00141402" w:rsidRDefault="00141402" w:rsidP="001B32E2">
      <w:pPr>
        <w:spacing w:line="480" w:lineRule="auto"/>
        <w:ind w:firstLine="720"/>
        <w:contextualSpacing/>
        <w:jc w:val="both"/>
        <w:rPr>
          <w:sz w:val="24"/>
          <w:szCs w:val="24"/>
        </w:rPr>
      </w:pPr>
      <w:r>
        <w:rPr>
          <w:sz w:val="24"/>
          <w:szCs w:val="24"/>
        </w:rPr>
        <w:t>There is good cause to modify the post-judgment discovery portion of the Final Judgment.</w:t>
      </w:r>
    </w:p>
    <w:p w14:paraId="4E46CF85" w14:textId="5E7143FA" w:rsidR="001B32E2" w:rsidRDefault="001B32E2" w:rsidP="001B32E2">
      <w:pPr>
        <w:spacing w:line="480" w:lineRule="auto"/>
        <w:ind w:firstLine="720"/>
        <w:contextualSpacing/>
        <w:jc w:val="both"/>
        <w:rPr>
          <w:b/>
          <w:i/>
          <w:iCs/>
          <w:snapToGrid w:val="0"/>
          <w:sz w:val="24"/>
          <w:szCs w:val="24"/>
        </w:rPr>
      </w:pPr>
      <w:r w:rsidRPr="001B32E2">
        <w:rPr>
          <w:sz w:val="24"/>
          <w:szCs w:val="24"/>
        </w:rPr>
        <w:t xml:space="preserve">First, for the reasons noted above, the arbitrator </w:t>
      </w:r>
      <w:r>
        <w:rPr>
          <w:sz w:val="24"/>
          <w:szCs w:val="24"/>
        </w:rPr>
        <w:t xml:space="preserve">has authority only over persons and entities that have agreed to arbitrate and who are parties to an arbitration. </w:t>
      </w:r>
      <w:r w:rsidRPr="000946F9">
        <w:rPr>
          <w:i/>
          <w:iCs/>
          <w:sz w:val="24"/>
          <w:szCs w:val="24"/>
        </w:rPr>
        <w:t>Leshin</w:t>
      </w:r>
      <w:r w:rsidRPr="000946F9">
        <w:rPr>
          <w:sz w:val="24"/>
          <w:szCs w:val="24"/>
        </w:rPr>
        <w:t>, 2015 Tex. App. LEXIS 7802, at *22</w:t>
      </w:r>
      <w:r>
        <w:rPr>
          <w:sz w:val="24"/>
          <w:szCs w:val="24"/>
        </w:rPr>
        <w:t xml:space="preserve">.  The fact that an individual has signed an arbitration agreement in one capacity is not clear and unmistakable evidence that the individual, in a separate capacity, agreed to arbitrate.  </w:t>
      </w:r>
      <w:r w:rsidRPr="00483330">
        <w:rPr>
          <w:i/>
          <w:iCs/>
          <w:sz w:val="24"/>
          <w:szCs w:val="24"/>
        </w:rPr>
        <w:t>See Elgohary</w:t>
      </w:r>
      <w:r w:rsidRPr="00483330">
        <w:rPr>
          <w:sz w:val="24"/>
          <w:szCs w:val="24"/>
        </w:rPr>
        <w:t>, 405 S.W.3d at 789</w:t>
      </w:r>
      <w:r>
        <w:rPr>
          <w:sz w:val="24"/>
          <w:szCs w:val="24"/>
        </w:rPr>
        <w:t>.  It is undisputed that n</w:t>
      </w:r>
      <w:r w:rsidRPr="001B32E2">
        <w:rPr>
          <w:bCs/>
          <w:snapToGrid w:val="0"/>
          <w:sz w:val="24"/>
          <w:szCs w:val="24"/>
        </w:rPr>
        <w:t xml:space="preserve">either </w:t>
      </w:r>
      <w:proofErr w:type="spellStart"/>
      <w:r w:rsidRPr="001B32E2">
        <w:rPr>
          <w:bCs/>
          <w:snapToGrid w:val="0"/>
          <w:sz w:val="24"/>
          <w:szCs w:val="24"/>
        </w:rPr>
        <w:t>Minaki</w:t>
      </w:r>
      <w:proofErr w:type="spellEnd"/>
      <w:r w:rsidRPr="001B32E2">
        <w:rPr>
          <w:bCs/>
          <w:snapToGrid w:val="0"/>
          <w:sz w:val="24"/>
          <w:szCs w:val="24"/>
        </w:rPr>
        <w:t xml:space="preserve"> nor the Allison Family Trust (or its trustees) were named as parties to the arbitration or these court proceedings</w:t>
      </w:r>
      <w:r>
        <w:rPr>
          <w:bCs/>
          <w:snapToGrid w:val="0"/>
          <w:sz w:val="24"/>
          <w:szCs w:val="24"/>
        </w:rPr>
        <w:t xml:space="preserve">, and </w:t>
      </w:r>
      <w:r>
        <w:rPr>
          <w:sz w:val="24"/>
          <w:szCs w:val="24"/>
        </w:rPr>
        <w:t>i</w:t>
      </w:r>
      <w:r w:rsidRPr="002E6A18">
        <w:rPr>
          <w:sz w:val="24"/>
          <w:szCs w:val="24"/>
        </w:rPr>
        <w:t>t is well-settled that “</w:t>
      </w:r>
      <w:r w:rsidRPr="002E6A18">
        <w:rPr>
          <w:b/>
          <w:bCs/>
          <w:i/>
          <w:iCs/>
          <w:sz w:val="24"/>
          <w:szCs w:val="24"/>
        </w:rPr>
        <w:t>a judgment cannot be entered against a trust when the trustee appeared solely in her individual capacity</w:t>
      </w:r>
      <w:r w:rsidRPr="002E6A18">
        <w:rPr>
          <w:sz w:val="24"/>
          <w:szCs w:val="24"/>
        </w:rPr>
        <w:t xml:space="preserve">.” </w:t>
      </w:r>
      <w:r w:rsidRPr="002E6A18">
        <w:rPr>
          <w:i/>
          <w:iCs/>
          <w:sz w:val="24"/>
          <w:szCs w:val="24"/>
        </w:rPr>
        <w:t>Goudeau</w:t>
      </w:r>
      <w:r w:rsidRPr="002E6A18">
        <w:rPr>
          <w:sz w:val="24"/>
          <w:szCs w:val="24"/>
        </w:rPr>
        <w:t xml:space="preserve">, 272 S.W.3d </w:t>
      </w:r>
      <w:r>
        <w:rPr>
          <w:sz w:val="24"/>
          <w:szCs w:val="24"/>
        </w:rPr>
        <w:t>at</w:t>
      </w:r>
      <w:r w:rsidRPr="002E6A18">
        <w:rPr>
          <w:sz w:val="24"/>
          <w:szCs w:val="24"/>
        </w:rPr>
        <w:t xml:space="preserve"> 609</w:t>
      </w:r>
      <w:r w:rsidRPr="001B32E2">
        <w:rPr>
          <w:bCs/>
          <w:snapToGrid w:val="0"/>
          <w:sz w:val="24"/>
          <w:szCs w:val="24"/>
        </w:rPr>
        <w:t>.</w:t>
      </w:r>
      <w:r>
        <w:rPr>
          <w:bCs/>
          <w:snapToGrid w:val="0"/>
          <w:sz w:val="24"/>
          <w:szCs w:val="24"/>
        </w:rPr>
        <w:t xml:space="preserve">  </w:t>
      </w:r>
      <w:r w:rsidRPr="001B32E2">
        <w:rPr>
          <w:bCs/>
          <w:snapToGrid w:val="0"/>
          <w:sz w:val="24"/>
          <w:szCs w:val="24"/>
        </w:rPr>
        <w:t xml:space="preserve">Under Tex. Prop. </w:t>
      </w:r>
      <w:proofErr w:type="gramStart"/>
      <w:r w:rsidRPr="001B32E2">
        <w:rPr>
          <w:bCs/>
          <w:snapToGrid w:val="0"/>
          <w:sz w:val="24"/>
          <w:szCs w:val="24"/>
        </w:rPr>
        <w:t>Code  §</w:t>
      </w:r>
      <w:proofErr w:type="gramEnd"/>
      <w:r w:rsidRPr="001B32E2">
        <w:rPr>
          <w:bCs/>
          <w:snapToGrid w:val="0"/>
          <w:sz w:val="24"/>
          <w:szCs w:val="24"/>
        </w:rPr>
        <w:t xml:space="preserve"> 115.001(a), issues over trust administration (such as frozen accounts and having to give out account statements) must be heard by a court that has exclusive jurisdiction to hear these types of issues with all interested parties noticed and having a right to be heard. By freezing the </w:t>
      </w:r>
      <w:proofErr w:type="spellStart"/>
      <w:r w:rsidRPr="001B32E2">
        <w:rPr>
          <w:bCs/>
          <w:snapToGrid w:val="0"/>
          <w:sz w:val="24"/>
          <w:szCs w:val="24"/>
        </w:rPr>
        <w:t>Minaki</w:t>
      </w:r>
      <w:proofErr w:type="spellEnd"/>
      <w:r w:rsidRPr="001B32E2">
        <w:rPr>
          <w:bCs/>
          <w:snapToGrid w:val="0"/>
          <w:sz w:val="24"/>
          <w:szCs w:val="24"/>
        </w:rPr>
        <w:t xml:space="preserve"> account owned in trust and mandating the dissemination of trust records, the arbitrator exceeded her authority.</w:t>
      </w:r>
      <w:r>
        <w:rPr>
          <w:bCs/>
          <w:snapToGrid w:val="0"/>
          <w:sz w:val="24"/>
          <w:szCs w:val="24"/>
        </w:rPr>
        <w:t xml:space="preserve">  </w:t>
      </w:r>
    </w:p>
    <w:p w14:paraId="5F5790E6" w14:textId="1EFABDF9" w:rsidR="008C01B4" w:rsidRDefault="008C01B4" w:rsidP="008C01B4">
      <w:pPr>
        <w:spacing w:line="480" w:lineRule="auto"/>
        <w:ind w:firstLine="720"/>
        <w:jc w:val="both"/>
        <w:rPr>
          <w:bCs/>
          <w:snapToGrid w:val="0"/>
          <w:sz w:val="24"/>
          <w:szCs w:val="24"/>
        </w:rPr>
      </w:pPr>
      <w:r>
        <w:rPr>
          <w:bCs/>
          <w:snapToGrid w:val="0"/>
          <w:sz w:val="24"/>
          <w:szCs w:val="24"/>
        </w:rPr>
        <w:t>Further, a</w:t>
      </w:r>
      <w:r w:rsidR="00292919">
        <w:rPr>
          <w:bCs/>
          <w:snapToGrid w:val="0"/>
          <w:sz w:val="24"/>
          <w:szCs w:val="24"/>
        </w:rPr>
        <w:t>s noted in Rich</w:t>
      </w:r>
      <w:r>
        <w:rPr>
          <w:bCs/>
          <w:snapToGrid w:val="0"/>
          <w:sz w:val="24"/>
          <w:szCs w:val="24"/>
        </w:rPr>
        <w:t>ard</w:t>
      </w:r>
      <w:r w:rsidR="00292919">
        <w:rPr>
          <w:bCs/>
          <w:snapToGrid w:val="0"/>
          <w:sz w:val="24"/>
          <w:szCs w:val="24"/>
        </w:rPr>
        <w:t xml:space="preserve"> and Caroline’s Response to Defendant’s motion for sanctions, </w:t>
      </w:r>
      <w:r w:rsidR="001B32E2">
        <w:rPr>
          <w:bCs/>
          <w:snapToGrid w:val="0"/>
          <w:sz w:val="24"/>
          <w:szCs w:val="24"/>
        </w:rPr>
        <w:t>D</w:t>
      </w:r>
      <w:r w:rsidR="00292919">
        <w:rPr>
          <w:bCs/>
          <w:snapToGrid w:val="0"/>
          <w:sz w:val="24"/>
          <w:szCs w:val="24"/>
        </w:rPr>
        <w:t>efendants reportedly notified Schwab of the arbitrator’s order freezing the account</w:t>
      </w:r>
      <w:r w:rsidR="00E32948">
        <w:rPr>
          <w:bCs/>
          <w:snapToGrid w:val="0"/>
          <w:sz w:val="24"/>
          <w:szCs w:val="24"/>
        </w:rPr>
        <w:t xml:space="preserve">, which </w:t>
      </w:r>
      <w:r w:rsidR="00292919">
        <w:rPr>
          <w:bCs/>
          <w:snapToGrid w:val="0"/>
          <w:sz w:val="24"/>
          <w:szCs w:val="24"/>
        </w:rPr>
        <w:t>placed a legal restriction on the account. The legal restriction precluded Caroline and Richard from accessing the account to print monthly statements. As Caroline affirm</w:t>
      </w:r>
      <w:r w:rsidR="00E32948">
        <w:rPr>
          <w:bCs/>
          <w:snapToGrid w:val="0"/>
          <w:sz w:val="24"/>
          <w:szCs w:val="24"/>
        </w:rPr>
        <w:t>ed</w:t>
      </w:r>
      <w:r w:rsidR="00292919">
        <w:rPr>
          <w:bCs/>
          <w:snapToGrid w:val="0"/>
          <w:sz w:val="24"/>
          <w:szCs w:val="24"/>
        </w:rPr>
        <w:t xml:space="preserve"> in her declaration</w:t>
      </w:r>
      <w:r w:rsidR="00E32948">
        <w:rPr>
          <w:bCs/>
          <w:snapToGrid w:val="0"/>
          <w:sz w:val="24"/>
          <w:szCs w:val="24"/>
        </w:rPr>
        <w:t xml:space="preserve"> (Exhibit 1 to Response to Motion for Sanctions)</w:t>
      </w:r>
      <w:r w:rsidR="00292919">
        <w:rPr>
          <w:bCs/>
          <w:snapToGrid w:val="0"/>
          <w:sz w:val="24"/>
          <w:szCs w:val="24"/>
        </w:rPr>
        <w:t xml:space="preserve">, prior to this Court’s final judgment on July 15, 2024, she attempted to view and print a monthly statement from the </w:t>
      </w:r>
      <w:proofErr w:type="spellStart"/>
      <w:r w:rsidR="00292919">
        <w:rPr>
          <w:bCs/>
          <w:snapToGrid w:val="0"/>
          <w:sz w:val="24"/>
          <w:szCs w:val="24"/>
        </w:rPr>
        <w:t>Minaki</w:t>
      </w:r>
      <w:proofErr w:type="spellEnd"/>
      <w:r w:rsidR="00292919">
        <w:rPr>
          <w:bCs/>
          <w:snapToGrid w:val="0"/>
          <w:sz w:val="24"/>
          <w:szCs w:val="24"/>
        </w:rPr>
        <w:t xml:space="preserve"> account in her capacity as trustee </w:t>
      </w:r>
      <w:r w:rsidR="00292919">
        <w:rPr>
          <w:bCs/>
          <w:snapToGrid w:val="0"/>
          <w:sz w:val="24"/>
          <w:szCs w:val="24"/>
        </w:rPr>
        <w:lastRenderedPageBreak/>
        <w:t xml:space="preserve">for the Allison Family Trust. But Defendants’ legal restriction on the account prevented her from doing so. </w:t>
      </w:r>
      <w:r>
        <w:rPr>
          <w:bCs/>
          <w:snapToGrid w:val="0"/>
          <w:sz w:val="24"/>
          <w:szCs w:val="24"/>
        </w:rPr>
        <w:t xml:space="preserve">  </w:t>
      </w:r>
      <w:r w:rsidR="00292919">
        <w:rPr>
          <w:bCs/>
          <w:snapToGrid w:val="0"/>
          <w:sz w:val="24"/>
          <w:szCs w:val="24"/>
        </w:rPr>
        <w:t xml:space="preserve">Richard personally went to </w:t>
      </w:r>
      <w:proofErr w:type="gramStart"/>
      <w:r w:rsidR="00292919">
        <w:rPr>
          <w:bCs/>
          <w:snapToGrid w:val="0"/>
          <w:sz w:val="24"/>
          <w:szCs w:val="24"/>
        </w:rPr>
        <w:t>a Schwab</w:t>
      </w:r>
      <w:proofErr w:type="gramEnd"/>
      <w:r w:rsidR="00292919">
        <w:rPr>
          <w:bCs/>
          <w:snapToGrid w:val="0"/>
          <w:sz w:val="24"/>
          <w:szCs w:val="24"/>
        </w:rPr>
        <w:t xml:space="preserve"> office branch on July 30, 2024, and July 31, 2024. However, Schwab was unable to provide him with a monthly statement.</w:t>
      </w:r>
      <w:r w:rsidR="00E32948">
        <w:rPr>
          <w:bCs/>
          <w:snapToGrid w:val="0"/>
          <w:sz w:val="24"/>
          <w:szCs w:val="24"/>
        </w:rPr>
        <w:t xml:space="preserve">  </w:t>
      </w:r>
      <w:r w:rsidR="00292919">
        <w:rPr>
          <w:bCs/>
          <w:snapToGrid w:val="0"/>
          <w:sz w:val="24"/>
          <w:szCs w:val="24"/>
        </w:rPr>
        <w:t xml:space="preserve">After unsuccessfully going to the Schwab office, Richard emailed the </w:t>
      </w:r>
      <w:proofErr w:type="spellStart"/>
      <w:r w:rsidR="00292919">
        <w:rPr>
          <w:bCs/>
          <w:snapToGrid w:val="0"/>
          <w:sz w:val="24"/>
          <w:szCs w:val="24"/>
        </w:rPr>
        <w:t>Scwhab</w:t>
      </w:r>
      <w:proofErr w:type="spellEnd"/>
      <w:r w:rsidR="00292919">
        <w:rPr>
          <w:bCs/>
          <w:snapToGrid w:val="0"/>
          <w:sz w:val="24"/>
          <w:szCs w:val="24"/>
        </w:rPr>
        <w:t xml:space="preserve"> representative who had confirmed the account was frozen. Richard stated that he needed a statement to provide in response to a court order. </w:t>
      </w:r>
      <w:r w:rsidR="00292919" w:rsidRPr="00E32948">
        <w:rPr>
          <w:bCs/>
          <w:snapToGrid w:val="0"/>
          <w:sz w:val="24"/>
          <w:szCs w:val="24"/>
        </w:rPr>
        <w:t>Exhibit 5</w:t>
      </w:r>
      <w:r w:rsidR="00E32948" w:rsidRPr="00E32948">
        <w:rPr>
          <w:bCs/>
          <w:snapToGrid w:val="0"/>
          <w:sz w:val="24"/>
          <w:szCs w:val="24"/>
        </w:rPr>
        <w:t xml:space="preserve"> to Response to Motion for Sanctions</w:t>
      </w:r>
      <w:r w:rsidR="00292919" w:rsidRPr="00E32948">
        <w:rPr>
          <w:bCs/>
          <w:snapToGrid w:val="0"/>
          <w:sz w:val="24"/>
          <w:szCs w:val="24"/>
        </w:rPr>
        <w:t>.</w:t>
      </w:r>
      <w:r w:rsidR="00292919">
        <w:rPr>
          <w:bCs/>
          <w:i/>
          <w:iCs/>
          <w:snapToGrid w:val="0"/>
          <w:sz w:val="24"/>
          <w:szCs w:val="24"/>
        </w:rPr>
        <w:t xml:space="preserve"> </w:t>
      </w:r>
      <w:r w:rsidR="00292919">
        <w:rPr>
          <w:bCs/>
          <w:snapToGrid w:val="0"/>
          <w:sz w:val="24"/>
          <w:szCs w:val="24"/>
        </w:rPr>
        <w:t xml:space="preserve">On July 31, 2024, the Schwab representative stated “[m]y team is looking into the matter to find the best solution for you to obtain statements.” </w:t>
      </w:r>
      <w:r w:rsidR="00E32948">
        <w:rPr>
          <w:bCs/>
          <w:snapToGrid w:val="0"/>
          <w:sz w:val="24"/>
          <w:szCs w:val="24"/>
        </w:rPr>
        <w:t>Exhibit 6 to Response to Motion for Sanctions.</w:t>
      </w:r>
    </w:p>
    <w:p w14:paraId="181CD2F9" w14:textId="11560BD6" w:rsidR="00A64AF3" w:rsidRDefault="008C01B4" w:rsidP="008C01B4">
      <w:pPr>
        <w:spacing w:line="480" w:lineRule="auto"/>
        <w:ind w:firstLine="720"/>
        <w:jc w:val="both"/>
        <w:rPr>
          <w:sz w:val="24"/>
          <w:szCs w:val="24"/>
        </w:rPr>
      </w:pPr>
      <w:r w:rsidRPr="008C01B4">
        <w:rPr>
          <w:sz w:val="24"/>
          <w:szCs w:val="24"/>
        </w:rPr>
        <w:t xml:space="preserve">The scope of discovery is limited to documents within a party’s “possession, custody, or control.”  </w:t>
      </w:r>
      <w:r w:rsidRPr="008C01B4">
        <w:rPr>
          <w:i/>
          <w:iCs/>
          <w:sz w:val="24"/>
          <w:szCs w:val="24"/>
        </w:rPr>
        <w:t>In re Methodist Primary Care Grp</w:t>
      </w:r>
      <w:r w:rsidRPr="008C01B4">
        <w:rPr>
          <w:sz w:val="24"/>
          <w:szCs w:val="24"/>
        </w:rPr>
        <w:t xml:space="preserve">., 553 S.W.3d 709, 722 (Tex. App.—Houston [14th Dist.] 2018, no pet.) (citing Tex. R. Civ. P. 192.3(b); </w:t>
      </w:r>
      <w:r w:rsidRPr="008C01B4">
        <w:rPr>
          <w:i/>
          <w:iCs/>
          <w:sz w:val="24"/>
          <w:szCs w:val="24"/>
        </w:rPr>
        <w:t>In re U-Haul Int'l</w:t>
      </w:r>
      <w:r w:rsidRPr="008C01B4">
        <w:rPr>
          <w:sz w:val="24"/>
          <w:szCs w:val="24"/>
        </w:rPr>
        <w:t xml:space="preserve">, 87 S.W.3d 653, 656 (Tex. App.—San Antonio 2002, orig. proceeding) (per </w:t>
      </w:r>
      <w:proofErr w:type="spellStart"/>
      <w:r w:rsidRPr="008C01B4">
        <w:rPr>
          <w:sz w:val="24"/>
          <w:szCs w:val="24"/>
        </w:rPr>
        <w:t>curiam</w:t>
      </w:r>
      <w:proofErr w:type="spellEnd"/>
      <w:r w:rsidRPr="008C01B4">
        <w:rPr>
          <w:sz w:val="24"/>
          <w:szCs w:val="24"/>
        </w:rPr>
        <w:t xml:space="preserve">).  “Possession, Custody, or Control of an item means that the person either has physical possession of the item or has a right to possession of the item that is equal or superior to the person who has physical possession of the item.” Tex. R. Civ. P. 192.7.  </w:t>
      </w:r>
      <w:r>
        <w:rPr>
          <w:sz w:val="24"/>
          <w:szCs w:val="24"/>
        </w:rPr>
        <w:t xml:space="preserve">The discovery portion of paragraph 11 of the Final Judgment should be vacated because Richard and Caroline lack “possession, custody, or control” of the documents the Court has ordered </w:t>
      </w:r>
      <w:proofErr w:type="gramStart"/>
      <w:r>
        <w:rPr>
          <w:sz w:val="24"/>
          <w:szCs w:val="24"/>
        </w:rPr>
        <w:t>produced</w:t>
      </w:r>
      <w:proofErr w:type="gramEnd"/>
      <w:r>
        <w:rPr>
          <w:sz w:val="24"/>
          <w:szCs w:val="24"/>
        </w:rPr>
        <w:t xml:space="preserve"> and this portion of the Court’s order exceeds scope of discovery under the Rules of Civil Procedure.</w:t>
      </w:r>
      <w:r w:rsidR="00935C53">
        <w:rPr>
          <w:sz w:val="24"/>
          <w:szCs w:val="24"/>
        </w:rPr>
        <w:t xml:space="preserve"> </w:t>
      </w:r>
    </w:p>
    <w:p w14:paraId="174C5447" w14:textId="6C1D339C" w:rsidR="002A54F6" w:rsidRDefault="002A54F6" w:rsidP="002A54F6">
      <w:pPr>
        <w:spacing w:line="480" w:lineRule="auto"/>
        <w:jc w:val="center"/>
        <w:rPr>
          <w:b/>
          <w:bCs/>
          <w:sz w:val="24"/>
          <w:szCs w:val="24"/>
        </w:rPr>
      </w:pPr>
      <w:r>
        <w:rPr>
          <w:b/>
          <w:bCs/>
          <w:sz w:val="24"/>
          <w:szCs w:val="24"/>
        </w:rPr>
        <w:t>CONCLUSION</w:t>
      </w:r>
    </w:p>
    <w:p w14:paraId="58FA9392" w14:textId="68AE29AE" w:rsidR="002A54F6" w:rsidRPr="002A54F6" w:rsidRDefault="002A54F6" w:rsidP="002A54F6">
      <w:pPr>
        <w:spacing w:line="480" w:lineRule="auto"/>
        <w:jc w:val="both"/>
        <w:rPr>
          <w:sz w:val="24"/>
          <w:szCs w:val="24"/>
        </w:rPr>
      </w:pPr>
      <w:r>
        <w:rPr>
          <w:b/>
          <w:bCs/>
          <w:sz w:val="24"/>
          <w:szCs w:val="24"/>
        </w:rPr>
        <w:tab/>
      </w:r>
      <w:r>
        <w:rPr>
          <w:sz w:val="24"/>
          <w:szCs w:val="24"/>
        </w:rPr>
        <w:t xml:space="preserve">For the reasons noted above, and in </w:t>
      </w:r>
      <w:r w:rsidRPr="006D4A39">
        <w:rPr>
          <w:bCs/>
          <w:snapToGrid w:val="0"/>
          <w:sz w:val="24"/>
          <w:szCs w:val="24"/>
        </w:rPr>
        <w:t>Intervenor Richard Allison</w:t>
      </w:r>
      <w:r>
        <w:rPr>
          <w:bCs/>
          <w:snapToGrid w:val="0"/>
          <w:sz w:val="24"/>
          <w:szCs w:val="24"/>
        </w:rPr>
        <w:t xml:space="preserve">’s </w:t>
      </w:r>
      <w:r w:rsidRPr="006D4A39">
        <w:rPr>
          <w:bCs/>
          <w:snapToGrid w:val="0"/>
          <w:sz w:val="24"/>
          <w:szCs w:val="24"/>
        </w:rPr>
        <w:t>and Plaintiff Caroline Allison</w:t>
      </w:r>
      <w:r>
        <w:rPr>
          <w:bCs/>
          <w:snapToGrid w:val="0"/>
          <w:sz w:val="24"/>
          <w:szCs w:val="24"/>
        </w:rPr>
        <w:t xml:space="preserve">’s Motion to Vacate, the Arbitrator exceeded her powers and authority and disregarded Texas law in violation of the arbitration agreement in issuing her interim and final awards.  There is good cause to vacate, or, alternatively, to modify or correct those awards.  Accordingly, Richard </w:t>
      </w:r>
      <w:r>
        <w:rPr>
          <w:bCs/>
          <w:snapToGrid w:val="0"/>
          <w:sz w:val="24"/>
          <w:szCs w:val="24"/>
        </w:rPr>
        <w:lastRenderedPageBreak/>
        <w:t xml:space="preserve">and Caroline respectfully request that the Court grant this motion for new trial or, alternatively to modify the judgment signed July 15, 2024, and either vacate the arbitration awards in their </w:t>
      </w:r>
      <w:r w:rsidR="00191D39">
        <w:rPr>
          <w:bCs/>
          <w:snapToGrid w:val="0"/>
          <w:sz w:val="24"/>
          <w:szCs w:val="24"/>
        </w:rPr>
        <w:t xml:space="preserve">entirety or modify or correct the awards as set forth herein and in Richard and Caroline’s Motion to Vacate. </w:t>
      </w:r>
    </w:p>
    <w:p w14:paraId="51A04012" w14:textId="77777777" w:rsidR="00191D39" w:rsidRPr="006D4A39" w:rsidRDefault="00191D39" w:rsidP="00191D39">
      <w:pPr>
        <w:ind w:left="4680"/>
        <w:jc w:val="both"/>
        <w:rPr>
          <w:rFonts w:eastAsia="Calibri"/>
          <w:bCs/>
          <w:sz w:val="24"/>
          <w:szCs w:val="24"/>
        </w:rPr>
      </w:pPr>
      <w:r w:rsidRPr="006D4A39">
        <w:rPr>
          <w:rFonts w:eastAsia="Calibri"/>
          <w:bCs/>
          <w:sz w:val="24"/>
          <w:szCs w:val="24"/>
        </w:rPr>
        <w:t>Respectfully submitted,</w:t>
      </w:r>
    </w:p>
    <w:p w14:paraId="0BC6C676" w14:textId="77777777" w:rsidR="00191D39" w:rsidRPr="006D4A39" w:rsidRDefault="00191D39" w:rsidP="00191D39">
      <w:pPr>
        <w:jc w:val="both"/>
        <w:rPr>
          <w:rFonts w:eastAsia="Calibri"/>
          <w:b/>
          <w:smallCaps/>
          <w:sz w:val="24"/>
          <w:szCs w:val="24"/>
        </w:rPr>
      </w:pPr>
    </w:p>
    <w:p w14:paraId="63B86120" w14:textId="77777777" w:rsidR="00191D39" w:rsidRPr="006D4A39" w:rsidRDefault="00191D39" w:rsidP="00191D39">
      <w:pPr>
        <w:ind w:left="4680"/>
        <w:jc w:val="both"/>
        <w:rPr>
          <w:rFonts w:eastAsia="Calibri"/>
          <w:smallCaps/>
          <w:sz w:val="24"/>
          <w:szCs w:val="24"/>
        </w:rPr>
      </w:pPr>
      <w:r w:rsidRPr="006D4A39">
        <w:rPr>
          <w:rFonts w:eastAsia="Calibri"/>
          <w:b/>
          <w:smallCaps/>
          <w:sz w:val="24"/>
          <w:szCs w:val="24"/>
        </w:rPr>
        <w:t>The Kassab Law Firm</w:t>
      </w:r>
    </w:p>
    <w:p w14:paraId="3372F4AC" w14:textId="77777777" w:rsidR="00191D39" w:rsidRPr="006D4A39" w:rsidRDefault="00191D39" w:rsidP="00191D39">
      <w:pPr>
        <w:jc w:val="both"/>
        <w:rPr>
          <w:smallCaps/>
          <w:sz w:val="24"/>
          <w:szCs w:val="24"/>
        </w:rPr>
      </w:pPr>
    </w:p>
    <w:p w14:paraId="5C21417A" w14:textId="77777777" w:rsidR="00191D39" w:rsidRPr="006D4A39" w:rsidRDefault="00191D39" w:rsidP="00191D39">
      <w:pPr>
        <w:ind w:left="5040"/>
        <w:jc w:val="both"/>
        <w:rPr>
          <w:smallCaps/>
          <w:sz w:val="24"/>
          <w:szCs w:val="24"/>
          <w:u w:val="single"/>
        </w:rPr>
      </w:pPr>
      <w:r w:rsidRPr="006D4A39">
        <w:rPr>
          <w:i/>
          <w:iCs/>
          <w:smallCaps/>
          <w:sz w:val="24"/>
          <w:szCs w:val="24"/>
          <w:u w:val="single"/>
        </w:rPr>
        <w:t>/s/ Lance Kassab</w:t>
      </w:r>
      <w:r w:rsidRPr="006D4A39">
        <w:rPr>
          <w:smallCaps/>
          <w:sz w:val="24"/>
          <w:szCs w:val="24"/>
          <w:u w:val="single"/>
        </w:rPr>
        <w:t>______________________</w:t>
      </w:r>
    </w:p>
    <w:p w14:paraId="02D9BABE" w14:textId="77777777" w:rsidR="00191D39" w:rsidRPr="006D4A39" w:rsidRDefault="00191D39" w:rsidP="00191D39">
      <w:pPr>
        <w:tabs>
          <w:tab w:val="left" w:pos="-1440"/>
          <w:tab w:val="left" w:pos="-720"/>
          <w:tab w:val="left" w:pos="0"/>
          <w:tab w:val="left" w:pos="720"/>
          <w:tab w:val="left" w:pos="1440"/>
          <w:tab w:val="left" w:pos="2160"/>
          <w:tab w:val="left" w:pos="2880"/>
          <w:tab w:val="left" w:pos="3600"/>
          <w:tab w:val="left" w:pos="4320"/>
          <w:tab w:val="left" w:pos="5040"/>
          <w:tab w:val="right" w:pos="9360"/>
        </w:tabs>
        <w:jc w:val="both"/>
        <w:rPr>
          <w:bCs/>
          <w:smallCaps/>
          <w:sz w:val="24"/>
          <w:szCs w:val="24"/>
        </w:rPr>
      </w:pPr>
      <w:r w:rsidRPr="006D4A39">
        <w:rPr>
          <w:bCs/>
          <w:smallCaps/>
          <w:sz w:val="24"/>
          <w:szCs w:val="24"/>
        </w:rPr>
        <w:tab/>
      </w:r>
      <w:r w:rsidRPr="006D4A39">
        <w:rPr>
          <w:bCs/>
          <w:smallCaps/>
          <w:sz w:val="24"/>
          <w:szCs w:val="24"/>
        </w:rPr>
        <w:tab/>
      </w:r>
      <w:r w:rsidRPr="006D4A39">
        <w:rPr>
          <w:bCs/>
          <w:smallCaps/>
          <w:sz w:val="24"/>
          <w:szCs w:val="24"/>
        </w:rPr>
        <w:tab/>
      </w:r>
      <w:r w:rsidRPr="006D4A39">
        <w:rPr>
          <w:bCs/>
          <w:smallCaps/>
          <w:sz w:val="24"/>
          <w:szCs w:val="24"/>
        </w:rPr>
        <w:tab/>
      </w:r>
      <w:r w:rsidRPr="006D4A39">
        <w:rPr>
          <w:bCs/>
          <w:smallCaps/>
          <w:sz w:val="24"/>
          <w:szCs w:val="24"/>
        </w:rPr>
        <w:tab/>
      </w:r>
      <w:r w:rsidRPr="006D4A39">
        <w:rPr>
          <w:bCs/>
          <w:smallCaps/>
          <w:sz w:val="24"/>
          <w:szCs w:val="24"/>
        </w:rPr>
        <w:tab/>
      </w:r>
      <w:r w:rsidRPr="006D4A39">
        <w:rPr>
          <w:bCs/>
          <w:sz w:val="24"/>
          <w:szCs w:val="24"/>
        </w:rPr>
        <w:tab/>
      </w:r>
      <w:r w:rsidRPr="006D4A39">
        <w:rPr>
          <w:bCs/>
          <w:smallCaps/>
          <w:sz w:val="24"/>
          <w:szCs w:val="24"/>
        </w:rPr>
        <w:t>Lance Christopher Kassab</w:t>
      </w:r>
    </w:p>
    <w:p w14:paraId="75DDC132" w14:textId="77777777" w:rsidR="00191D39" w:rsidRPr="006D4A39" w:rsidRDefault="00191D39" w:rsidP="00191D39">
      <w:pPr>
        <w:widowControl w:val="0"/>
        <w:ind w:left="5040"/>
        <w:jc w:val="both"/>
        <w:rPr>
          <w:bCs/>
          <w:snapToGrid w:val="0"/>
          <w:sz w:val="24"/>
          <w:szCs w:val="24"/>
        </w:rPr>
      </w:pPr>
      <w:r w:rsidRPr="006D4A39">
        <w:rPr>
          <w:bCs/>
          <w:snapToGrid w:val="0"/>
          <w:sz w:val="24"/>
          <w:szCs w:val="24"/>
        </w:rPr>
        <w:t>Texas State Bar No. 00794070</w:t>
      </w:r>
    </w:p>
    <w:p w14:paraId="57498184" w14:textId="77777777" w:rsidR="00191D39" w:rsidRPr="006D4A39" w:rsidRDefault="00191D39" w:rsidP="00191D39">
      <w:pPr>
        <w:widowControl w:val="0"/>
        <w:ind w:left="5040"/>
        <w:jc w:val="both"/>
        <w:rPr>
          <w:bCs/>
          <w:snapToGrid w:val="0"/>
          <w:sz w:val="24"/>
          <w:szCs w:val="24"/>
          <w:lang w:val="de-DE"/>
        </w:rPr>
      </w:pPr>
      <w:r w:rsidRPr="006D4A39">
        <w:rPr>
          <w:bCs/>
          <w:snapToGrid w:val="0"/>
          <w:sz w:val="24"/>
          <w:szCs w:val="24"/>
          <w:lang w:val="de-DE"/>
        </w:rPr>
        <w:t>lance@kassab.law</w:t>
      </w:r>
    </w:p>
    <w:p w14:paraId="39FA9A84" w14:textId="77777777" w:rsidR="00191D39" w:rsidRPr="006D4A39" w:rsidRDefault="00191D39" w:rsidP="00191D39">
      <w:pPr>
        <w:widowControl w:val="0"/>
        <w:ind w:left="5040"/>
        <w:jc w:val="both"/>
        <w:rPr>
          <w:bCs/>
          <w:smallCaps/>
          <w:snapToGrid w:val="0"/>
          <w:sz w:val="24"/>
          <w:szCs w:val="24"/>
          <w:lang w:val="de-DE"/>
        </w:rPr>
      </w:pPr>
      <w:r w:rsidRPr="006D4A39">
        <w:rPr>
          <w:bCs/>
          <w:smallCaps/>
          <w:snapToGrid w:val="0"/>
          <w:sz w:val="24"/>
          <w:szCs w:val="24"/>
          <w:lang w:val="de-DE"/>
        </w:rPr>
        <w:t>David Eric Kassab</w:t>
      </w:r>
    </w:p>
    <w:p w14:paraId="5E069391" w14:textId="77777777" w:rsidR="00191D39" w:rsidRPr="006D4A39" w:rsidRDefault="00191D39" w:rsidP="00191D39">
      <w:pPr>
        <w:widowControl w:val="0"/>
        <w:ind w:left="5040"/>
        <w:jc w:val="both"/>
        <w:rPr>
          <w:bCs/>
          <w:snapToGrid w:val="0"/>
          <w:sz w:val="24"/>
          <w:szCs w:val="24"/>
        </w:rPr>
      </w:pPr>
      <w:r w:rsidRPr="006D4A39">
        <w:rPr>
          <w:bCs/>
          <w:snapToGrid w:val="0"/>
          <w:sz w:val="24"/>
          <w:szCs w:val="24"/>
        </w:rPr>
        <w:t>Texas State Bar No. 24071351</w:t>
      </w:r>
    </w:p>
    <w:p w14:paraId="3D5804CE" w14:textId="77777777" w:rsidR="00191D39" w:rsidRPr="006D4A39" w:rsidRDefault="00191D39" w:rsidP="00191D39">
      <w:pPr>
        <w:widowControl w:val="0"/>
        <w:ind w:left="5040"/>
        <w:jc w:val="both"/>
        <w:rPr>
          <w:bCs/>
          <w:snapToGrid w:val="0"/>
          <w:sz w:val="24"/>
          <w:szCs w:val="24"/>
        </w:rPr>
      </w:pPr>
      <w:r w:rsidRPr="006D4A39">
        <w:rPr>
          <w:bCs/>
          <w:snapToGrid w:val="0"/>
          <w:sz w:val="24"/>
          <w:szCs w:val="24"/>
        </w:rPr>
        <w:t xml:space="preserve">david@kassab.law </w:t>
      </w:r>
    </w:p>
    <w:p w14:paraId="74BD3896" w14:textId="77777777" w:rsidR="00191D39" w:rsidRPr="006D4A39" w:rsidRDefault="00191D39" w:rsidP="00191D39">
      <w:pPr>
        <w:widowControl w:val="0"/>
        <w:ind w:left="5040"/>
        <w:jc w:val="both"/>
        <w:rPr>
          <w:snapToGrid w:val="0"/>
          <w:sz w:val="24"/>
          <w:szCs w:val="24"/>
        </w:rPr>
      </w:pPr>
      <w:r w:rsidRPr="006D4A39">
        <w:rPr>
          <w:snapToGrid w:val="0"/>
          <w:sz w:val="24"/>
          <w:szCs w:val="24"/>
        </w:rPr>
        <w:t xml:space="preserve">1214 Elgin Street </w:t>
      </w:r>
    </w:p>
    <w:p w14:paraId="1A30C5F6" w14:textId="77777777" w:rsidR="00191D39" w:rsidRPr="006D4A39" w:rsidRDefault="00191D39" w:rsidP="00191D39">
      <w:pPr>
        <w:widowControl w:val="0"/>
        <w:ind w:left="5040"/>
        <w:jc w:val="both"/>
        <w:rPr>
          <w:snapToGrid w:val="0"/>
          <w:sz w:val="24"/>
          <w:szCs w:val="24"/>
        </w:rPr>
      </w:pPr>
      <w:r w:rsidRPr="006D4A39">
        <w:rPr>
          <w:snapToGrid w:val="0"/>
          <w:sz w:val="24"/>
          <w:szCs w:val="24"/>
        </w:rPr>
        <w:t>Houston, Texas 77004</w:t>
      </w:r>
    </w:p>
    <w:p w14:paraId="5C271E65" w14:textId="77777777" w:rsidR="00191D39" w:rsidRPr="006D4A39" w:rsidRDefault="00191D39" w:rsidP="00191D39">
      <w:pPr>
        <w:widowControl w:val="0"/>
        <w:tabs>
          <w:tab w:val="left" w:pos="5760"/>
        </w:tabs>
        <w:ind w:left="5040"/>
        <w:jc w:val="both"/>
        <w:rPr>
          <w:snapToGrid w:val="0"/>
          <w:sz w:val="24"/>
          <w:szCs w:val="24"/>
        </w:rPr>
      </w:pPr>
      <w:r w:rsidRPr="006D4A39">
        <w:rPr>
          <w:snapToGrid w:val="0"/>
          <w:sz w:val="24"/>
          <w:szCs w:val="24"/>
        </w:rPr>
        <w:t xml:space="preserve">Telephone: 713-522-7400 </w:t>
      </w:r>
    </w:p>
    <w:p w14:paraId="63C5F316" w14:textId="77777777" w:rsidR="00191D39" w:rsidRPr="006D4A39" w:rsidRDefault="00191D39" w:rsidP="00191D39">
      <w:pPr>
        <w:widowControl w:val="0"/>
        <w:tabs>
          <w:tab w:val="left" w:pos="5760"/>
        </w:tabs>
        <w:ind w:left="5040"/>
        <w:jc w:val="both"/>
        <w:rPr>
          <w:snapToGrid w:val="0"/>
          <w:sz w:val="24"/>
          <w:szCs w:val="24"/>
        </w:rPr>
      </w:pPr>
      <w:r w:rsidRPr="006D4A39">
        <w:rPr>
          <w:snapToGrid w:val="0"/>
          <w:sz w:val="24"/>
          <w:szCs w:val="24"/>
        </w:rPr>
        <w:t>Facsimile:  713-522-7410</w:t>
      </w:r>
    </w:p>
    <w:p w14:paraId="3C0B907F" w14:textId="77777777" w:rsidR="00191D39" w:rsidRPr="006D4A39" w:rsidRDefault="00191D39" w:rsidP="00191D39">
      <w:pPr>
        <w:tabs>
          <w:tab w:val="left" w:pos="5760"/>
        </w:tabs>
        <w:ind w:left="5040"/>
        <w:jc w:val="both"/>
        <w:rPr>
          <w:rFonts w:eastAsia="Calibri"/>
          <w:sz w:val="24"/>
          <w:szCs w:val="24"/>
        </w:rPr>
      </w:pPr>
    </w:p>
    <w:p w14:paraId="22B33B7E" w14:textId="77777777" w:rsidR="00191D39" w:rsidRPr="006D4A39" w:rsidRDefault="00191D39" w:rsidP="00191D39">
      <w:pPr>
        <w:widowControl w:val="0"/>
        <w:tabs>
          <w:tab w:val="left" w:pos="-1440"/>
          <w:tab w:val="left" w:pos="-1170"/>
          <w:tab w:val="left" w:pos="-720"/>
          <w:tab w:val="left" w:pos="1440"/>
          <w:tab w:val="left" w:pos="2160"/>
          <w:tab w:val="left" w:pos="4608"/>
        </w:tabs>
        <w:ind w:left="4680"/>
        <w:rPr>
          <w:rFonts w:eastAsia="Calibri"/>
          <w:b/>
          <w:smallCaps/>
          <w:sz w:val="24"/>
          <w:szCs w:val="24"/>
        </w:rPr>
      </w:pPr>
      <w:r w:rsidRPr="006D4A39">
        <w:rPr>
          <w:rFonts w:eastAsia="Calibri"/>
          <w:b/>
          <w:smallCaps/>
          <w:sz w:val="24"/>
          <w:szCs w:val="24"/>
        </w:rPr>
        <w:t>Attorneys For Plaintiff</w:t>
      </w:r>
    </w:p>
    <w:p w14:paraId="50FE2511" w14:textId="77777777" w:rsidR="00191D39" w:rsidRPr="006D4A39" w:rsidRDefault="00191D39" w:rsidP="00191D39">
      <w:pPr>
        <w:widowControl w:val="0"/>
        <w:tabs>
          <w:tab w:val="left" w:pos="-1440"/>
          <w:tab w:val="left" w:pos="-1170"/>
          <w:tab w:val="left" w:pos="-720"/>
          <w:tab w:val="left" w:pos="1440"/>
          <w:tab w:val="left" w:pos="2160"/>
          <w:tab w:val="left" w:pos="4608"/>
        </w:tabs>
        <w:ind w:left="4680"/>
        <w:rPr>
          <w:rFonts w:eastAsia="Calibri"/>
          <w:b/>
          <w:smallCaps/>
          <w:sz w:val="24"/>
          <w:szCs w:val="24"/>
        </w:rPr>
      </w:pPr>
    </w:p>
    <w:p w14:paraId="40E0E447" w14:textId="77777777" w:rsidR="00191D39" w:rsidRPr="006D4A39" w:rsidRDefault="00191D39" w:rsidP="00191D39">
      <w:pPr>
        <w:ind w:left="4680"/>
        <w:jc w:val="both"/>
        <w:rPr>
          <w:sz w:val="24"/>
          <w:szCs w:val="24"/>
        </w:rPr>
      </w:pPr>
      <w:r w:rsidRPr="006D4A39">
        <w:rPr>
          <w:sz w:val="24"/>
          <w:szCs w:val="24"/>
        </w:rPr>
        <w:t>MARTIN, DISIERE, JEFFERSON &amp; WISDOM, L.L.P.</w:t>
      </w:r>
    </w:p>
    <w:p w14:paraId="0EA24F3D" w14:textId="77777777" w:rsidR="00191D39" w:rsidRPr="006D4A39" w:rsidRDefault="00191D39" w:rsidP="00191D39">
      <w:pPr>
        <w:ind w:left="5040"/>
        <w:jc w:val="both"/>
        <w:rPr>
          <w:sz w:val="24"/>
          <w:szCs w:val="24"/>
        </w:rPr>
      </w:pPr>
    </w:p>
    <w:p w14:paraId="03C689AA" w14:textId="77777777" w:rsidR="00191D39" w:rsidRPr="006D4A39" w:rsidRDefault="00191D39" w:rsidP="00191D39">
      <w:pPr>
        <w:ind w:left="5040"/>
        <w:jc w:val="both"/>
        <w:rPr>
          <w:i/>
          <w:iCs/>
          <w:sz w:val="24"/>
          <w:szCs w:val="24"/>
          <w:u w:val="single"/>
        </w:rPr>
      </w:pPr>
      <w:r w:rsidRPr="006D4A39">
        <w:rPr>
          <w:i/>
          <w:iCs/>
          <w:sz w:val="24"/>
          <w:szCs w:val="24"/>
          <w:u w:val="single"/>
        </w:rPr>
        <w:t>/s/ Dale Jefferson</w:t>
      </w:r>
      <w:r w:rsidRPr="006D4A39">
        <w:rPr>
          <w:i/>
          <w:iCs/>
          <w:sz w:val="24"/>
          <w:szCs w:val="24"/>
          <w:u w:val="single"/>
        </w:rPr>
        <w:tab/>
      </w:r>
      <w:r w:rsidRPr="006D4A39">
        <w:rPr>
          <w:i/>
          <w:iCs/>
          <w:sz w:val="24"/>
          <w:szCs w:val="24"/>
          <w:u w:val="single"/>
        </w:rPr>
        <w:tab/>
      </w:r>
      <w:r w:rsidRPr="006D4A39">
        <w:rPr>
          <w:i/>
          <w:iCs/>
          <w:sz w:val="24"/>
          <w:szCs w:val="24"/>
          <w:u w:val="single"/>
        </w:rPr>
        <w:tab/>
      </w:r>
      <w:r w:rsidRPr="006D4A39">
        <w:rPr>
          <w:i/>
          <w:iCs/>
          <w:sz w:val="24"/>
          <w:szCs w:val="24"/>
          <w:u w:val="single"/>
        </w:rPr>
        <w:tab/>
      </w:r>
    </w:p>
    <w:p w14:paraId="729C0291" w14:textId="77777777" w:rsidR="00191D39" w:rsidRPr="006D4A39" w:rsidRDefault="00191D39" w:rsidP="00191D39">
      <w:pPr>
        <w:ind w:left="5040"/>
        <w:jc w:val="both"/>
        <w:rPr>
          <w:sz w:val="24"/>
          <w:szCs w:val="24"/>
        </w:rPr>
      </w:pPr>
      <w:r w:rsidRPr="006D4A39">
        <w:rPr>
          <w:sz w:val="24"/>
          <w:szCs w:val="24"/>
        </w:rPr>
        <w:t>Dale Jefferson</w:t>
      </w:r>
    </w:p>
    <w:p w14:paraId="661B5D46" w14:textId="77777777" w:rsidR="00191D39" w:rsidRPr="006D4A39" w:rsidRDefault="00191D39" w:rsidP="00191D39">
      <w:pPr>
        <w:ind w:left="5040"/>
        <w:jc w:val="both"/>
        <w:rPr>
          <w:sz w:val="24"/>
          <w:szCs w:val="24"/>
        </w:rPr>
      </w:pPr>
      <w:r w:rsidRPr="006D4A39">
        <w:rPr>
          <w:sz w:val="24"/>
          <w:szCs w:val="24"/>
        </w:rPr>
        <w:t>Texas Bar No. 10607900</w:t>
      </w:r>
    </w:p>
    <w:p w14:paraId="42D63626" w14:textId="77777777" w:rsidR="00191D39" w:rsidRPr="006D4A39" w:rsidRDefault="00191D39" w:rsidP="00191D39">
      <w:pPr>
        <w:ind w:left="5040"/>
        <w:jc w:val="both"/>
        <w:rPr>
          <w:sz w:val="24"/>
          <w:szCs w:val="24"/>
        </w:rPr>
      </w:pPr>
      <w:hyperlink r:id="rId7" w:history="1">
        <w:r w:rsidRPr="006D4A39">
          <w:rPr>
            <w:rStyle w:val="Hyperlink"/>
            <w:sz w:val="24"/>
            <w:szCs w:val="24"/>
          </w:rPr>
          <w:t>jefferson@mdjwlaw.com</w:t>
        </w:r>
      </w:hyperlink>
      <w:r w:rsidRPr="006D4A39">
        <w:rPr>
          <w:sz w:val="24"/>
          <w:szCs w:val="24"/>
        </w:rPr>
        <w:t xml:space="preserve">  </w:t>
      </w:r>
    </w:p>
    <w:p w14:paraId="2EE822FA" w14:textId="77777777" w:rsidR="00191D39" w:rsidRPr="006D4A39" w:rsidRDefault="00191D39" w:rsidP="00191D39">
      <w:pPr>
        <w:ind w:left="5040"/>
        <w:jc w:val="both"/>
        <w:rPr>
          <w:sz w:val="24"/>
          <w:szCs w:val="24"/>
        </w:rPr>
      </w:pPr>
      <w:r w:rsidRPr="006D4A39">
        <w:rPr>
          <w:sz w:val="24"/>
          <w:szCs w:val="24"/>
        </w:rPr>
        <w:t>Raul H. Suazo</w:t>
      </w:r>
    </w:p>
    <w:p w14:paraId="1A929C20" w14:textId="77777777" w:rsidR="00191D39" w:rsidRPr="006D4A39" w:rsidRDefault="00191D39" w:rsidP="00191D39">
      <w:pPr>
        <w:ind w:left="5040"/>
        <w:jc w:val="both"/>
        <w:rPr>
          <w:sz w:val="24"/>
          <w:szCs w:val="24"/>
        </w:rPr>
      </w:pPr>
      <w:r w:rsidRPr="006D4A39">
        <w:rPr>
          <w:sz w:val="24"/>
          <w:szCs w:val="24"/>
        </w:rPr>
        <w:t>Texas Bar No. 24003021</w:t>
      </w:r>
    </w:p>
    <w:p w14:paraId="057C4029" w14:textId="77777777" w:rsidR="00191D39" w:rsidRPr="006D4A39" w:rsidRDefault="00191D39" w:rsidP="00191D39">
      <w:pPr>
        <w:ind w:left="5040"/>
        <w:jc w:val="both"/>
        <w:rPr>
          <w:sz w:val="24"/>
          <w:szCs w:val="24"/>
        </w:rPr>
      </w:pPr>
      <w:hyperlink r:id="rId8" w:history="1">
        <w:r w:rsidRPr="006D4A39">
          <w:rPr>
            <w:rStyle w:val="Hyperlink"/>
            <w:sz w:val="24"/>
            <w:szCs w:val="24"/>
          </w:rPr>
          <w:t>suazo@mdjwlaw.com</w:t>
        </w:r>
      </w:hyperlink>
      <w:r w:rsidRPr="006D4A39">
        <w:rPr>
          <w:sz w:val="24"/>
          <w:szCs w:val="24"/>
        </w:rPr>
        <w:t xml:space="preserve">   </w:t>
      </w:r>
    </w:p>
    <w:p w14:paraId="0AB611C8" w14:textId="77777777" w:rsidR="00191D39" w:rsidRPr="006D4A39" w:rsidRDefault="00191D39" w:rsidP="00191D39">
      <w:pPr>
        <w:ind w:left="5040"/>
        <w:jc w:val="both"/>
        <w:rPr>
          <w:sz w:val="24"/>
          <w:szCs w:val="24"/>
        </w:rPr>
      </w:pPr>
      <w:r w:rsidRPr="006D4A39">
        <w:rPr>
          <w:sz w:val="24"/>
          <w:szCs w:val="24"/>
        </w:rPr>
        <w:t>808 Travis, Suite 1100</w:t>
      </w:r>
    </w:p>
    <w:p w14:paraId="05D4D191" w14:textId="77777777" w:rsidR="00191D39" w:rsidRPr="006D4A39" w:rsidRDefault="00191D39" w:rsidP="00191D39">
      <w:pPr>
        <w:ind w:left="5040"/>
        <w:jc w:val="both"/>
        <w:rPr>
          <w:sz w:val="24"/>
          <w:szCs w:val="24"/>
        </w:rPr>
      </w:pPr>
      <w:r w:rsidRPr="006D4A39">
        <w:rPr>
          <w:sz w:val="24"/>
          <w:szCs w:val="24"/>
        </w:rPr>
        <w:t>Houston, TX 77002</w:t>
      </w:r>
    </w:p>
    <w:p w14:paraId="50786C16" w14:textId="77777777" w:rsidR="00191D39" w:rsidRPr="006D4A39" w:rsidRDefault="00191D39" w:rsidP="00191D39">
      <w:pPr>
        <w:ind w:left="5040"/>
        <w:jc w:val="both"/>
        <w:rPr>
          <w:sz w:val="24"/>
          <w:szCs w:val="24"/>
        </w:rPr>
      </w:pPr>
      <w:r w:rsidRPr="006D4A39">
        <w:rPr>
          <w:sz w:val="24"/>
          <w:szCs w:val="24"/>
        </w:rPr>
        <w:t>Telephone</w:t>
      </w:r>
      <w:proofErr w:type="gramStart"/>
      <w:r w:rsidRPr="006D4A39">
        <w:rPr>
          <w:sz w:val="24"/>
          <w:szCs w:val="24"/>
        </w:rPr>
        <w:t>:  (</w:t>
      </w:r>
      <w:proofErr w:type="gramEnd"/>
      <w:r w:rsidRPr="006D4A39">
        <w:rPr>
          <w:sz w:val="24"/>
          <w:szCs w:val="24"/>
        </w:rPr>
        <w:t>713) 632-1700</w:t>
      </w:r>
    </w:p>
    <w:p w14:paraId="36D75B9D" w14:textId="77777777" w:rsidR="00191D39" w:rsidRPr="006D4A39" w:rsidRDefault="00191D39" w:rsidP="00191D39">
      <w:pPr>
        <w:ind w:left="5040"/>
        <w:jc w:val="both"/>
        <w:rPr>
          <w:sz w:val="24"/>
          <w:szCs w:val="24"/>
        </w:rPr>
      </w:pPr>
      <w:r w:rsidRPr="006D4A39">
        <w:rPr>
          <w:sz w:val="24"/>
          <w:szCs w:val="24"/>
        </w:rPr>
        <w:t>Facsimile</w:t>
      </w:r>
      <w:proofErr w:type="gramStart"/>
      <w:r w:rsidRPr="006D4A39">
        <w:rPr>
          <w:sz w:val="24"/>
          <w:szCs w:val="24"/>
        </w:rPr>
        <w:t>:  (</w:t>
      </w:r>
      <w:proofErr w:type="gramEnd"/>
      <w:r w:rsidRPr="006D4A39">
        <w:rPr>
          <w:sz w:val="24"/>
          <w:szCs w:val="24"/>
        </w:rPr>
        <w:t>713) 222-0101</w:t>
      </w:r>
    </w:p>
    <w:p w14:paraId="7EE264C8" w14:textId="77777777" w:rsidR="00191D39" w:rsidRPr="006D4A39" w:rsidRDefault="00191D39" w:rsidP="00191D39">
      <w:pPr>
        <w:ind w:left="4680"/>
        <w:jc w:val="both"/>
        <w:rPr>
          <w:b/>
          <w:bCs/>
          <w:sz w:val="24"/>
          <w:szCs w:val="24"/>
        </w:rPr>
      </w:pPr>
      <w:r w:rsidRPr="006D4A39">
        <w:rPr>
          <w:b/>
          <w:bCs/>
          <w:sz w:val="24"/>
          <w:szCs w:val="24"/>
        </w:rPr>
        <w:t>Attorneys For Intervenor Richard Allison</w:t>
      </w:r>
    </w:p>
    <w:p w14:paraId="4E414930" w14:textId="77777777" w:rsidR="00191D39" w:rsidRPr="006D4A39" w:rsidRDefault="00191D39" w:rsidP="00191D39">
      <w:pPr>
        <w:tabs>
          <w:tab w:val="center" w:pos="4680"/>
        </w:tabs>
        <w:jc w:val="both"/>
        <w:rPr>
          <w:rFonts w:eastAsia="Calibri"/>
          <w:snapToGrid w:val="0"/>
          <w:sz w:val="24"/>
          <w:szCs w:val="24"/>
        </w:rPr>
      </w:pPr>
    </w:p>
    <w:p w14:paraId="39A18C15" w14:textId="77777777" w:rsidR="00191D39" w:rsidRPr="006D4A39" w:rsidRDefault="00191D39" w:rsidP="00191D39">
      <w:pPr>
        <w:tabs>
          <w:tab w:val="center" w:pos="4680"/>
        </w:tabs>
        <w:jc w:val="both"/>
        <w:rPr>
          <w:rFonts w:eastAsia="Calibri"/>
          <w:snapToGrid w:val="0"/>
          <w:sz w:val="24"/>
          <w:szCs w:val="24"/>
        </w:rPr>
      </w:pPr>
    </w:p>
    <w:p w14:paraId="3ADD8107" w14:textId="77777777" w:rsidR="00191D39" w:rsidRDefault="00191D39">
      <w:pPr>
        <w:spacing w:after="160" w:line="278" w:lineRule="auto"/>
        <w:rPr>
          <w:rFonts w:eastAsia="Calibri"/>
          <w:b/>
          <w:smallCaps/>
          <w:snapToGrid w:val="0"/>
          <w:sz w:val="24"/>
          <w:szCs w:val="24"/>
        </w:rPr>
      </w:pPr>
      <w:r>
        <w:rPr>
          <w:rFonts w:eastAsia="Calibri"/>
          <w:b/>
          <w:smallCaps/>
          <w:snapToGrid w:val="0"/>
          <w:sz w:val="24"/>
          <w:szCs w:val="24"/>
        </w:rPr>
        <w:br w:type="page"/>
      </w:r>
    </w:p>
    <w:p w14:paraId="0587CCB6" w14:textId="07BB634F" w:rsidR="00191D39" w:rsidRPr="006D4A39" w:rsidRDefault="00191D39" w:rsidP="00191D39">
      <w:pPr>
        <w:tabs>
          <w:tab w:val="center" w:pos="4680"/>
        </w:tabs>
        <w:jc w:val="center"/>
        <w:rPr>
          <w:rFonts w:eastAsia="Calibri"/>
          <w:smallCaps/>
          <w:snapToGrid w:val="0"/>
          <w:sz w:val="24"/>
          <w:szCs w:val="24"/>
        </w:rPr>
      </w:pPr>
      <w:r w:rsidRPr="006D4A39">
        <w:rPr>
          <w:rFonts w:eastAsia="Calibri"/>
          <w:b/>
          <w:smallCaps/>
          <w:snapToGrid w:val="0"/>
          <w:sz w:val="24"/>
          <w:szCs w:val="24"/>
        </w:rPr>
        <w:lastRenderedPageBreak/>
        <w:t>Certificate Of Service</w:t>
      </w:r>
    </w:p>
    <w:p w14:paraId="45C515BE" w14:textId="77777777" w:rsidR="00191D39" w:rsidRPr="006D4A39" w:rsidRDefault="00191D39" w:rsidP="00191D39">
      <w:pPr>
        <w:tabs>
          <w:tab w:val="left" w:pos="3945"/>
        </w:tabs>
        <w:jc w:val="center"/>
        <w:rPr>
          <w:rFonts w:eastAsia="Calibri"/>
          <w:snapToGrid w:val="0"/>
          <w:sz w:val="24"/>
          <w:szCs w:val="24"/>
        </w:rPr>
      </w:pPr>
    </w:p>
    <w:p w14:paraId="34DFF9A2" w14:textId="4895CB97" w:rsidR="00191D39" w:rsidRPr="006D4A39" w:rsidRDefault="00191D39" w:rsidP="00191D39">
      <w:pPr>
        <w:ind w:firstLine="720"/>
        <w:jc w:val="both"/>
        <w:rPr>
          <w:rFonts w:eastAsia="Calibri"/>
          <w:snapToGrid w:val="0"/>
          <w:sz w:val="24"/>
          <w:szCs w:val="24"/>
        </w:rPr>
      </w:pPr>
      <w:r w:rsidRPr="006D4A39">
        <w:rPr>
          <w:rFonts w:eastAsia="Calibri"/>
          <w:snapToGrid w:val="0"/>
          <w:sz w:val="24"/>
          <w:szCs w:val="24"/>
        </w:rPr>
        <w:t xml:space="preserve">I hereby certify that a true and correct copy of the above and foregoing instrument has been forwarded to all known parties and/or counsel of record pursuant to the Texas Rules of Civil Procedure on this day, </w:t>
      </w:r>
      <w:r>
        <w:rPr>
          <w:rFonts w:eastAsia="Calibri"/>
          <w:snapToGrid w:val="0"/>
          <w:sz w:val="24"/>
          <w:szCs w:val="24"/>
        </w:rPr>
        <w:t>August 14</w:t>
      </w:r>
      <w:r w:rsidRPr="006D4A39">
        <w:rPr>
          <w:rFonts w:eastAsia="Calibri"/>
          <w:snapToGrid w:val="0"/>
          <w:sz w:val="24"/>
          <w:szCs w:val="24"/>
        </w:rPr>
        <w:t xml:space="preserve">, 2024. </w:t>
      </w:r>
    </w:p>
    <w:p w14:paraId="0F788D01" w14:textId="77777777" w:rsidR="00191D39" w:rsidRPr="006D4A39" w:rsidRDefault="00191D39" w:rsidP="00191D39">
      <w:pPr>
        <w:ind w:left="5040"/>
        <w:jc w:val="both"/>
        <w:rPr>
          <w:smallCaps/>
          <w:sz w:val="24"/>
          <w:szCs w:val="24"/>
        </w:rPr>
      </w:pPr>
    </w:p>
    <w:p w14:paraId="1EC607FA" w14:textId="77777777" w:rsidR="00191D39" w:rsidRPr="006D4A39" w:rsidRDefault="00191D39" w:rsidP="00191D39">
      <w:pPr>
        <w:ind w:left="5040"/>
        <w:jc w:val="both"/>
        <w:rPr>
          <w:smallCaps/>
          <w:sz w:val="24"/>
          <w:szCs w:val="24"/>
        </w:rPr>
      </w:pPr>
    </w:p>
    <w:p w14:paraId="2E2CC688" w14:textId="77777777" w:rsidR="00191D39" w:rsidRPr="006D4A39" w:rsidRDefault="00191D39" w:rsidP="00191D39">
      <w:pPr>
        <w:ind w:left="5040"/>
        <w:jc w:val="both"/>
        <w:rPr>
          <w:smallCaps/>
          <w:sz w:val="24"/>
          <w:szCs w:val="24"/>
          <w:u w:val="single"/>
        </w:rPr>
      </w:pPr>
      <w:r w:rsidRPr="006D4A39">
        <w:rPr>
          <w:i/>
          <w:iCs/>
          <w:smallCaps/>
          <w:sz w:val="24"/>
          <w:szCs w:val="24"/>
          <w:u w:val="single"/>
        </w:rPr>
        <w:t>/s/ Raul H. Suazo</w:t>
      </w:r>
      <w:r w:rsidRPr="006D4A39">
        <w:rPr>
          <w:smallCaps/>
          <w:sz w:val="24"/>
          <w:szCs w:val="24"/>
          <w:u w:val="single"/>
        </w:rPr>
        <w:t>_____________________</w:t>
      </w:r>
    </w:p>
    <w:p w14:paraId="06C9188A" w14:textId="77777777" w:rsidR="00191D39" w:rsidRPr="006D4A39" w:rsidRDefault="00191D39" w:rsidP="00191D39">
      <w:pPr>
        <w:tabs>
          <w:tab w:val="left" w:pos="-1440"/>
          <w:tab w:val="left" w:pos="-720"/>
          <w:tab w:val="left" w:pos="0"/>
          <w:tab w:val="left" w:pos="720"/>
          <w:tab w:val="left" w:pos="1440"/>
          <w:tab w:val="left" w:pos="2160"/>
          <w:tab w:val="left" w:pos="2880"/>
          <w:tab w:val="left" w:pos="3600"/>
          <w:tab w:val="left" w:pos="4320"/>
          <w:tab w:val="left" w:pos="5040"/>
          <w:tab w:val="right" w:pos="9360"/>
        </w:tabs>
        <w:jc w:val="both"/>
        <w:rPr>
          <w:bCs/>
          <w:sz w:val="24"/>
          <w:szCs w:val="24"/>
        </w:rPr>
      </w:pPr>
      <w:r w:rsidRPr="006D4A39">
        <w:rPr>
          <w:smallCaps/>
          <w:sz w:val="24"/>
          <w:szCs w:val="24"/>
        </w:rPr>
        <w:tab/>
      </w:r>
      <w:r w:rsidRPr="006D4A39">
        <w:rPr>
          <w:smallCaps/>
          <w:sz w:val="24"/>
          <w:szCs w:val="24"/>
        </w:rPr>
        <w:tab/>
      </w:r>
      <w:r w:rsidRPr="006D4A39">
        <w:rPr>
          <w:smallCaps/>
          <w:sz w:val="24"/>
          <w:szCs w:val="24"/>
        </w:rPr>
        <w:tab/>
      </w:r>
      <w:r w:rsidRPr="006D4A39">
        <w:rPr>
          <w:smallCaps/>
          <w:sz w:val="24"/>
          <w:szCs w:val="24"/>
        </w:rPr>
        <w:tab/>
      </w:r>
      <w:r w:rsidRPr="006D4A39">
        <w:rPr>
          <w:smallCaps/>
          <w:sz w:val="24"/>
          <w:szCs w:val="24"/>
        </w:rPr>
        <w:tab/>
      </w:r>
      <w:r w:rsidRPr="006D4A39">
        <w:rPr>
          <w:smallCaps/>
          <w:sz w:val="24"/>
          <w:szCs w:val="24"/>
        </w:rPr>
        <w:tab/>
      </w:r>
      <w:r w:rsidRPr="006D4A39">
        <w:rPr>
          <w:sz w:val="24"/>
          <w:szCs w:val="24"/>
        </w:rPr>
        <w:tab/>
        <w:t>Raul H. Suazo</w:t>
      </w:r>
    </w:p>
    <w:p w14:paraId="6BBF2465" w14:textId="77777777" w:rsidR="00191D39" w:rsidRPr="006D4A39" w:rsidRDefault="00191D39" w:rsidP="00191D39">
      <w:pPr>
        <w:rPr>
          <w:sz w:val="24"/>
          <w:szCs w:val="24"/>
        </w:rPr>
      </w:pPr>
    </w:p>
    <w:p w14:paraId="1E28EB88" w14:textId="2CCBD071" w:rsidR="004F2375" w:rsidRPr="008C01B4" w:rsidRDefault="004F2375" w:rsidP="004F2375">
      <w:pPr>
        <w:spacing w:line="480" w:lineRule="auto"/>
        <w:ind w:firstLine="720"/>
        <w:jc w:val="both"/>
        <w:rPr>
          <w:sz w:val="24"/>
          <w:szCs w:val="24"/>
        </w:rPr>
      </w:pPr>
    </w:p>
    <w:sectPr w:rsidR="004F2375" w:rsidRPr="008C01B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D190B" w14:textId="77777777" w:rsidR="0070079C" w:rsidRDefault="0070079C" w:rsidP="0070079C">
      <w:r>
        <w:separator/>
      </w:r>
    </w:p>
  </w:endnote>
  <w:endnote w:type="continuationSeparator" w:id="0">
    <w:p w14:paraId="6B2925AD" w14:textId="77777777" w:rsidR="0070079C" w:rsidRDefault="0070079C" w:rsidP="0070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975588"/>
      <w:docPartObj>
        <w:docPartGallery w:val="Page Numbers (Bottom of Page)"/>
        <w:docPartUnique/>
      </w:docPartObj>
    </w:sdtPr>
    <w:sdtEndPr>
      <w:rPr>
        <w:noProof/>
      </w:rPr>
    </w:sdtEndPr>
    <w:sdtContent>
      <w:p w14:paraId="2C8C0F05" w14:textId="02BB1E88" w:rsidR="002A54F6" w:rsidRDefault="002A54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1FAD6E" w14:textId="77777777" w:rsidR="002A54F6" w:rsidRDefault="002A5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FAB81" w14:textId="77777777" w:rsidR="0070079C" w:rsidRDefault="0070079C" w:rsidP="0070079C">
      <w:r>
        <w:separator/>
      </w:r>
    </w:p>
  </w:footnote>
  <w:footnote w:type="continuationSeparator" w:id="0">
    <w:p w14:paraId="7914EFC8" w14:textId="77777777" w:rsidR="0070079C" w:rsidRDefault="0070079C" w:rsidP="0070079C">
      <w:r>
        <w:continuationSeparator/>
      </w:r>
    </w:p>
  </w:footnote>
  <w:footnote w:id="1">
    <w:p w14:paraId="61517216" w14:textId="48EC75C4" w:rsidR="008F3FF6" w:rsidRDefault="008F3FF6">
      <w:pPr>
        <w:pStyle w:val="FootnoteText"/>
      </w:pPr>
      <w:r>
        <w:rPr>
          <w:rStyle w:val="FootnoteReference"/>
        </w:rPr>
        <w:footnoteRef/>
      </w:r>
      <w:r>
        <w:t xml:space="preserve"> 9 U.S.C. § 10 provides, in pertinent part:</w:t>
      </w:r>
    </w:p>
    <w:p w14:paraId="292B3803" w14:textId="77777777" w:rsidR="008F3FF6" w:rsidRDefault="008F3FF6">
      <w:pPr>
        <w:pStyle w:val="FootnoteText"/>
      </w:pPr>
    </w:p>
    <w:p w14:paraId="1582C107" w14:textId="77777777" w:rsidR="008F3FF6" w:rsidRDefault="008F3FF6" w:rsidP="008F3FF6">
      <w:pPr>
        <w:pStyle w:val="FootnoteText"/>
        <w:ind w:left="720"/>
      </w:pPr>
      <w:r>
        <w:t>(a) In any of the following cases the United States court in and for the district wherein the award was made may make an order vacating the award upon the application of any party to the arbitration—</w:t>
      </w:r>
    </w:p>
    <w:p w14:paraId="5433E389" w14:textId="77777777" w:rsidR="008F3FF6" w:rsidRDefault="008F3FF6" w:rsidP="008F3FF6">
      <w:pPr>
        <w:pStyle w:val="FootnoteText"/>
        <w:ind w:left="1440"/>
      </w:pPr>
      <w:r>
        <w:t xml:space="preserve">(1) where the award was procured by corruption, fraud, or undue </w:t>
      </w:r>
      <w:proofErr w:type="gramStart"/>
      <w:r>
        <w:t>means;</w:t>
      </w:r>
      <w:proofErr w:type="gramEnd"/>
    </w:p>
    <w:p w14:paraId="65ACEF3C" w14:textId="77777777" w:rsidR="008F3FF6" w:rsidRDefault="008F3FF6" w:rsidP="008F3FF6">
      <w:pPr>
        <w:pStyle w:val="FootnoteText"/>
        <w:ind w:left="1440"/>
      </w:pPr>
      <w:r>
        <w:t xml:space="preserve">(2) where there was evident partiality or corruption in the arbitrators, or either of </w:t>
      </w:r>
      <w:proofErr w:type="gramStart"/>
      <w:r>
        <w:t>them;</w:t>
      </w:r>
      <w:proofErr w:type="gramEnd"/>
    </w:p>
    <w:p w14:paraId="3662C34A" w14:textId="77777777" w:rsidR="008F3FF6" w:rsidRDefault="008F3FF6" w:rsidP="008F3FF6">
      <w:pPr>
        <w:pStyle w:val="FootnoteText"/>
        <w:ind w:left="1440"/>
      </w:pPr>
      <w:r>
        <w:t>(3) where the arbitrators were guilty of misconduct in refusing to postpone the hearing, upon sufficient cause shown, or in refusing to hear evidence pertinent and material to the controversy; or of any other misbehavior by which the rights of any party have been prejudiced; or</w:t>
      </w:r>
    </w:p>
    <w:p w14:paraId="6816185A" w14:textId="05EAB658" w:rsidR="008F3FF6" w:rsidRDefault="008F3FF6" w:rsidP="008F3FF6">
      <w:pPr>
        <w:pStyle w:val="FootnoteText"/>
        <w:ind w:left="1440"/>
      </w:pPr>
      <w:r>
        <w:t>(4) where the arbitrators exceeded their powers, or so imperfectly executed them that a mutual, final, and definite award upon the subject matter submitted was not made.</w:t>
      </w:r>
    </w:p>
    <w:p w14:paraId="00D5FB80" w14:textId="56D8CDE0" w:rsidR="008F3FF6" w:rsidRDefault="008F3FF6" w:rsidP="008F3FF6">
      <w:pPr>
        <w:pStyle w:val="FootnoteText"/>
        <w:ind w:left="720"/>
      </w:pPr>
      <w:r w:rsidRPr="008F3FF6">
        <w:t>(b) If an award is vacated and the time within which the agreement required the award to be made has not expired, the court may, in its discretion, direct a rehearing by the arbitrators.</w:t>
      </w:r>
    </w:p>
    <w:p w14:paraId="5E231B50" w14:textId="77777777" w:rsidR="008F3FF6" w:rsidRDefault="008F3FF6" w:rsidP="008F3FF6">
      <w:pPr>
        <w:pStyle w:val="FootnoteText"/>
      </w:pPr>
    </w:p>
    <w:p w14:paraId="1CD73C53" w14:textId="19F953CD" w:rsidR="008F3FF6" w:rsidRDefault="008F3FF6" w:rsidP="008F3FF6">
      <w:pPr>
        <w:pStyle w:val="FootnoteText"/>
      </w:pPr>
      <w:r>
        <w:t>9 U.S.C. § 11 provides, in pertinent part:</w:t>
      </w:r>
    </w:p>
    <w:p w14:paraId="429FAEA6" w14:textId="77777777" w:rsidR="008F3FF6" w:rsidRDefault="008F3FF6" w:rsidP="008F3FF6">
      <w:pPr>
        <w:pStyle w:val="FootnoteText"/>
        <w:ind w:left="720"/>
      </w:pPr>
    </w:p>
    <w:p w14:paraId="3351751F" w14:textId="348DE53A" w:rsidR="008F3FF6" w:rsidRDefault="008F3FF6" w:rsidP="008F3FF6">
      <w:pPr>
        <w:pStyle w:val="FootnoteText"/>
        <w:ind w:left="720"/>
      </w:pPr>
      <w:r>
        <w:t>In either of the following cases the United States court in and for the district wherein the award was made may make an order modifying or correcting the award upon the application of any party to the arbitration—</w:t>
      </w:r>
    </w:p>
    <w:p w14:paraId="5706F6CF" w14:textId="77777777" w:rsidR="008F3FF6" w:rsidRDefault="008F3FF6" w:rsidP="008F3FF6">
      <w:pPr>
        <w:pStyle w:val="FootnoteText"/>
        <w:ind w:left="1440"/>
      </w:pPr>
      <w:r>
        <w:t>(a) Where there was an evident material miscalculation of figures or an evident material mistake in the description of any person, thing, or property referred to in the award.</w:t>
      </w:r>
    </w:p>
    <w:p w14:paraId="41374727" w14:textId="77777777" w:rsidR="008F3FF6" w:rsidRDefault="008F3FF6" w:rsidP="008F3FF6">
      <w:pPr>
        <w:pStyle w:val="FootnoteText"/>
        <w:ind w:left="1440"/>
      </w:pPr>
      <w:r>
        <w:t>(b) Where the arbitrators have awarded upon a matter not submitted to them, unless it is a matter not affecting the merits of the decision upon the matter submitted.</w:t>
      </w:r>
    </w:p>
    <w:p w14:paraId="00B188DA" w14:textId="77777777" w:rsidR="008F3FF6" w:rsidRDefault="008F3FF6" w:rsidP="008F3FF6">
      <w:pPr>
        <w:pStyle w:val="FootnoteText"/>
        <w:ind w:left="1440"/>
      </w:pPr>
      <w:r>
        <w:t>(c) Where the award is imperfect in matter of form not affecting the merits of the controversy.</w:t>
      </w:r>
    </w:p>
    <w:p w14:paraId="4FB727E3" w14:textId="486D882B" w:rsidR="008F3FF6" w:rsidRDefault="008F3FF6" w:rsidP="008F3FF6">
      <w:pPr>
        <w:pStyle w:val="FootnoteText"/>
        <w:ind w:left="720"/>
      </w:pPr>
      <w:r>
        <w:t xml:space="preserve">The order may modify and correct the award, so as to </w:t>
      </w:r>
      <w:proofErr w:type="gramStart"/>
      <w:r>
        <w:t>effect</w:t>
      </w:r>
      <w:proofErr w:type="gramEnd"/>
      <w:r>
        <w:t xml:space="preserve"> the intent thereof and promote justice between the parties.</w:t>
      </w:r>
    </w:p>
    <w:p w14:paraId="5312B66A" w14:textId="77777777" w:rsidR="00BF0168" w:rsidRDefault="00BF0168" w:rsidP="008F3FF6">
      <w:pPr>
        <w:pStyle w:val="FootnoteText"/>
        <w:ind w:left="720"/>
      </w:pPr>
    </w:p>
  </w:footnote>
  <w:footnote w:id="2">
    <w:p w14:paraId="1421E52C" w14:textId="67154BCE" w:rsidR="008F3FF6" w:rsidRDefault="008F3FF6">
      <w:pPr>
        <w:pStyle w:val="FootnoteText"/>
      </w:pPr>
      <w:r>
        <w:rPr>
          <w:rStyle w:val="FootnoteReference"/>
        </w:rPr>
        <w:footnoteRef/>
      </w:r>
      <w:r>
        <w:t xml:space="preserve"> </w:t>
      </w:r>
      <w:r w:rsidRPr="008F3FF6">
        <w:t xml:space="preserve">Tex. Civ. </w:t>
      </w:r>
      <w:proofErr w:type="spellStart"/>
      <w:r w:rsidRPr="008F3FF6">
        <w:t>Prac</w:t>
      </w:r>
      <w:proofErr w:type="spellEnd"/>
      <w:r w:rsidRPr="008F3FF6">
        <w:t>. &amp; Rem. Code § 171.088</w:t>
      </w:r>
      <w:r>
        <w:t xml:space="preserve"> provides, in pertinent part:</w:t>
      </w:r>
    </w:p>
    <w:p w14:paraId="13853B7C" w14:textId="77777777" w:rsidR="00BF0168" w:rsidRDefault="00BF0168">
      <w:pPr>
        <w:pStyle w:val="FootnoteText"/>
      </w:pPr>
    </w:p>
    <w:p w14:paraId="4C8A988A" w14:textId="6242E19A" w:rsidR="008F3FF6" w:rsidRPr="008F3FF6" w:rsidRDefault="008F3FF6" w:rsidP="00BF0168">
      <w:pPr>
        <w:pStyle w:val="FootnoteText"/>
        <w:ind w:left="720"/>
      </w:pPr>
      <w:r w:rsidRPr="008F3FF6">
        <w:rPr>
          <w:b/>
          <w:bCs/>
        </w:rPr>
        <w:t>(a)</w:t>
      </w:r>
      <w:r>
        <w:rPr>
          <w:b/>
          <w:bCs/>
        </w:rPr>
        <w:t xml:space="preserve"> </w:t>
      </w:r>
      <w:r w:rsidRPr="008F3FF6">
        <w:t xml:space="preserve">On application of a party, the court shall vacate an award if: </w:t>
      </w:r>
    </w:p>
    <w:p w14:paraId="44F1D3EE" w14:textId="3AD5B4E6" w:rsidR="008F3FF6" w:rsidRPr="008F3FF6" w:rsidRDefault="008F3FF6" w:rsidP="00BF0168">
      <w:pPr>
        <w:pStyle w:val="FootnoteText"/>
        <w:ind w:left="1440"/>
        <w:rPr>
          <w:b/>
          <w:bCs/>
        </w:rPr>
      </w:pPr>
      <w:r w:rsidRPr="008F3FF6">
        <w:rPr>
          <w:b/>
          <w:bCs/>
        </w:rPr>
        <w:t>(1)</w:t>
      </w:r>
      <w:r>
        <w:rPr>
          <w:b/>
          <w:bCs/>
        </w:rPr>
        <w:t xml:space="preserve"> </w:t>
      </w:r>
      <w:r w:rsidRPr="008F3FF6">
        <w:t xml:space="preserve">the award was obtained by corruption, fraud, or other undue </w:t>
      </w:r>
      <w:proofErr w:type="gramStart"/>
      <w:r w:rsidRPr="008F3FF6">
        <w:t>means;</w:t>
      </w:r>
      <w:proofErr w:type="gramEnd"/>
      <w:r w:rsidRPr="008F3FF6">
        <w:t xml:space="preserve"> </w:t>
      </w:r>
    </w:p>
    <w:p w14:paraId="45410E4D" w14:textId="46C6E0EE" w:rsidR="008F3FF6" w:rsidRPr="008F3FF6" w:rsidRDefault="008F3FF6" w:rsidP="00BF0168">
      <w:pPr>
        <w:pStyle w:val="FootnoteText"/>
        <w:ind w:left="1440"/>
        <w:rPr>
          <w:b/>
          <w:bCs/>
        </w:rPr>
      </w:pPr>
      <w:r w:rsidRPr="008F3FF6">
        <w:rPr>
          <w:b/>
          <w:bCs/>
        </w:rPr>
        <w:t>(2)</w:t>
      </w:r>
      <w:r>
        <w:rPr>
          <w:b/>
          <w:bCs/>
        </w:rPr>
        <w:t xml:space="preserve"> </w:t>
      </w:r>
      <w:r w:rsidRPr="008F3FF6">
        <w:t xml:space="preserve">the rights of a party were prejudiced by: </w:t>
      </w:r>
    </w:p>
    <w:p w14:paraId="6CF59D48" w14:textId="34ED2E9C" w:rsidR="008F3FF6" w:rsidRPr="008F3FF6" w:rsidRDefault="008F3FF6" w:rsidP="00BF0168">
      <w:pPr>
        <w:pStyle w:val="FootnoteText"/>
        <w:ind w:left="2160"/>
        <w:rPr>
          <w:b/>
          <w:bCs/>
        </w:rPr>
      </w:pPr>
      <w:r w:rsidRPr="008F3FF6">
        <w:rPr>
          <w:b/>
          <w:bCs/>
        </w:rPr>
        <w:t>(A)</w:t>
      </w:r>
      <w:r>
        <w:rPr>
          <w:b/>
          <w:bCs/>
        </w:rPr>
        <w:t xml:space="preserve"> </w:t>
      </w:r>
      <w:r w:rsidRPr="008F3FF6">
        <w:t xml:space="preserve">evident partiality by an arbitrator appointed as a neutral </w:t>
      </w:r>
      <w:proofErr w:type="gramStart"/>
      <w:r w:rsidRPr="008F3FF6">
        <w:t>arbitrator;</w:t>
      </w:r>
      <w:proofErr w:type="gramEnd"/>
      <w:r w:rsidRPr="008F3FF6">
        <w:t xml:space="preserve"> </w:t>
      </w:r>
    </w:p>
    <w:p w14:paraId="7D1ADD95" w14:textId="53D25ABA" w:rsidR="008F3FF6" w:rsidRPr="008F3FF6" w:rsidRDefault="008F3FF6" w:rsidP="00BF0168">
      <w:pPr>
        <w:pStyle w:val="FootnoteText"/>
        <w:ind w:left="2160"/>
        <w:rPr>
          <w:b/>
          <w:bCs/>
        </w:rPr>
      </w:pPr>
      <w:r w:rsidRPr="008F3FF6">
        <w:rPr>
          <w:b/>
          <w:bCs/>
        </w:rPr>
        <w:t>(B)</w:t>
      </w:r>
      <w:r>
        <w:rPr>
          <w:b/>
          <w:bCs/>
        </w:rPr>
        <w:t xml:space="preserve"> </w:t>
      </w:r>
      <w:r w:rsidRPr="008F3FF6">
        <w:t xml:space="preserve">corruption in an arbitrator; or </w:t>
      </w:r>
    </w:p>
    <w:p w14:paraId="27543B74" w14:textId="4662F38B" w:rsidR="008F3FF6" w:rsidRPr="008F3FF6" w:rsidRDefault="008F3FF6" w:rsidP="00BF0168">
      <w:pPr>
        <w:pStyle w:val="FootnoteText"/>
        <w:ind w:left="2160"/>
        <w:rPr>
          <w:b/>
          <w:bCs/>
        </w:rPr>
      </w:pPr>
      <w:r w:rsidRPr="008F3FF6">
        <w:rPr>
          <w:b/>
          <w:bCs/>
        </w:rPr>
        <w:t>(C)</w:t>
      </w:r>
      <w:r>
        <w:rPr>
          <w:b/>
          <w:bCs/>
        </w:rPr>
        <w:t xml:space="preserve"> </w:t>
      </w:r>
      <w:r w:rsidRPr="008F3FF6">
        <w:t xml:space="preserve">misconduct or </w:t>
      </w:r>
      <w:proofErr w:type="spellStart"/>
      <w:r w:rsidRPr="008F3FF6">
        <w:t>wilful</w:t>
      </w:r>
      <w:proofErr w:type="spellEnd"/>
      <w:r w:rsidRPr="008F3FF6">
        <w:t xml:space="preserve"> misbehavior of an </w:t>
      </w:r>
      <w:proofErr w:type="gramStart"/>
      <w:r w:rsidRPr="008F3FF6">
        <w:t>arbitrator;</w:t>
      </w:r>
      <w:proofErr w:type="gramEnd"/>
      <w:r w:rsidRPr="008F3FF6">
        <w:t xml:space="preserve"> </w:t>
      </w:r>
    </w:p>
    <w:p w14:paraId="0490742A" w14:textId="11CF121C" w:rsidR="008F3FF6" w:rsidRPr="008F3FF6" w:rsidRDefault="008F3FF6" w:rsidP="00BF0168">
      <w:pPr>
        <w:pStyle w:val="FootnoteText"/>
        <w:ind w:left="1440"/>
        <w:rPr>
          <w:b/>
          <w:bCs/>
        </w:rPr>
      </w:pPr>
      <w:r w:rsidRPr="008F3FF6">
        <w:rPr>
          <w:b/>
          <w:bCs/>
        </w:rPr>
        <w:t>(3)</w:t>
      </w:r>
      <w:r>
        <w:rPr>
          <w:b/>
          <w:bCs/>
        </w:rPr>
        <w:t xml:space="preserve"> </w:t>
      </w:r>
      <w:r w:rsidRPr="008F3FF6">
        <w:t xml:space="preserve">the arbitrators: </w:t>
      </w:r>
    </w:p>
    <w:p w14:paraId="0BA12327" w14:textId="3E7BEA14" w:rsidR="008F3FF6" w:rsidRPr="008F3FF6" w:rsidRDefault="008F3FF6" w:rsidP="00BF0168">
      <w:pPr>
        <w:pStyle w:val="FootnoteText"/>
        <w:ind w:left="2160"/>
        <w:rPr>
          <w:b/>
          <w:bCs/>
        </w:rPr>
      </w:pPr>
      <w:r w:rsidRPr="008F3FF6">
        <w:rPr>
          <w:b/>
          <w:bCs/>
        </w:rPr>
        <w:t>(A)</w:t>
      </w:r>
      <w:r>
        <w:rPr>
          <w:b/>
          <w:bCs/>
        </w:rPr>
        <w:t xml:space="preserve"> </w:t>
      </w:r>
      <w:r w:rsidRPr="008F3FF6">
        <w:t xml:space="preserve">exceeded their </w:t>
      </w:r>
      <w:proofErr w:type="gramStart"/>
      <w:r w:rsidRPr="008F3FF6">
        <w:t>powers;</w:t>
      </w:r>
      <w:proofErr w:type="gramEnd"/>
      <w:r w:rsidRPr="008F3FF6">
        <w:t xml:space="preserve"> </w:t>
      </w:r>
    </w:p>
    <w:p w14:paraId="651C39EA" w14:textId="690A4404" w:rsidR="008F3FF6" w:rsidRPr="008F3FF6" w:rsidRDefault="008F3FF6" w:rsidP="00BF0168">
      <w:pPr>
        <w:pStyle w:val="FootnoteText"/>
        <w:ind w:left="2160"/>
        <w:rPr>
          <w:b/>
          <w:bCs/>
        </w:rPr>
      </w:pPr>
      <w:r w:rsidRPr="008F3FF6">
        <w:rPr>
          <w:b/>
          <w:bCs/>
        </w:rPr>
        <w:t>(B)</w:t>
      </w:r>
      <w:r>
        <w:rPr>
          <w:b/>
          <w:bCs/>
        </w:rPr>
        <w:t xml:space="preserve"> </w:t>
      </w:r>
      <w:r w:rsidRPr="008F3FF6">
        <w:t xml:space="preserve">refused to postpone the hearing after a showing of sufficient cause for the </w:t>
      </w:r>
      <w:proofErr w:type="gramStart"/>
      <w:r w:rsidRPr="008F3FF6">
        <w:t>postponement;</w:t>
      </w:r>
      <w:proofErr w:type="gramEnd"/>
      <w:r w:rsidRPr="008F3FF6">
        <w:t xml:space="preserve"> </w:t>
      </w:r>
    </w:p>
    <w:p w14:paraId="5D7740FD" w14:textId="3A69963A" w:rsidR="008F3FF6" w:rsidRPr="008F3FF6" w:rsidRDefault="008F3FF6" w:rsidP="00BF0168">
      <w:pPr>
        <w:pStyle w:val="FootnoteText"/>
        <w:ind w:left="2160"/>
        <w:rPr>
          <w:b/>
          <w:bCs/>
        </w:rPr>
      </w:pPr>
      <w:r w:rsidRPr="008F3FF6">
        <w:rPr>
          <w:b/>
          <w:bCs/>
        </w:rPr>
        <w:t>(C)</w:t>
      </w:r>
      <w:r>
        <w:rPr>
          <w:b/>
          <w:bCs/>
        </w:rPr>
        <w:t xml:space="preserve"> </w:t>
      </w:r>
      <w:r w:rsidRPr="008F3FF6">
        <w:t xml:space="preserve">refused to hear evidence material to the controversy; or </w:t>
      </w:r>
    </w:p>
    <w:p w14:paraId="32AFCB73" w14:textId="5B581007" w:rsidR="008F3FF6" w:rsidRPr="008F3FF6" w:rsidRDefault="008F3FF6" w:rsidP="00BF0168">
      <w:pPr>
        <w:pStyle w:val="FootnoteText"/>
        <w:ind w:left="2160"/>
        <w:rPr>
          <w:b/>
          <w:bCs/>
        </w:rPr>
      </w:pPr>
      <w:r w:rsidRPr="008F3FF6">
        <w:rPr>
          <w:b/>
          <w:bCs/>
        </w:rPr>
        <w:t>(D)</w:t>
      </w:r>
      <w:r>
        <w:rPr>
          <w:b/>
          <w:bCs/>
        </w:rPr>
        <w:t xml:space="preserve"> </w:t>
      </w:r>
      <w:r w:rsidRPr="008F3FF6">
        <w:t xml:space="preserve">conducted the hearing, contrary to Section </w:t>
      </w:r>
      <w:hyperlink r:id="rId1" w:history="1">
        <w:r w:rsidRPr="008F3FF6">
          <w:rPr>
            <w:rStyle w:val="Hyperlink"/>
            <w:color w:val="auto"/>
            <w:u w:val="none"/>
          </w:rPr>
          <w:t>171.043 (Hearing Conducted by Arbitrators)</w:t>
        </w:r>
      </w:hyperlink>
      <w:r w:rsidRPr="008F3FF6">
        <w:t xml:space="preserve">, </w:t>
      </w:r>
      <w:hyperlink r:id="rId2" w:history="1">
        <w:r w:rsidRPr="008F3FF6">
          <w:rPr>
            <w:rStyle w:val="Hyperlink"/>
            <w:color w:val="auto"/>
            <w:u w:val="none"/>
          </w:rPr>
          <w:t>171.044 (Time and Place of Hearing; Notice)</w:t>
        </w:r>
      </w:hyperlink>
      <w:r w:rsidRPr="008F3FF6">
        <w:t xml:space="preserve">, </w:t>
      </w:r>
      <w:hyperlink r:id="rId3" w:history="1">
        <w:r w:rsidRPr="008F3FF6">
          <w:rPr>
            <w:rStyle w:val="Hyperlink"/>
            <w:color w:val="auto"/>
            <w:u w:val="none"/>
          </w:rPr>
          <w:t>171.045 (Adjournment or Postponement)</w:t>
        </w:r>
      </w:hyperlink>
      <w:r w:rsidRPr="008F3FF6">
        <w:t xml:space="preserve">, </w:t>
      </w:r>
      <w:hyperlink r:id="rId4" w:history="1">
        <w:r w:rsidRPr="008F3FF6">
          <w:rPr>
            <w:rStyle w:val="Hyperlink"/>
            <w:color w:val="auto"/>
            <w:u w:val="none"/>
          </w:rPr>
          <w:t>171.046 (Failure of Party to Appear)</w:t>
        </w:r>
      </w:hyperlink>
      <w:r w:rsidRPr="008F3FF6">
        <w:t xml:space="preserve">, or </w:t>
      </w:r>
      <w:hyperlink r:id="rId5" w:history="1">
        <w:r w:rsidRPr="008F3FF6">
          <w:rPr>
            <w:rStyle w:val="Hyperlink"/>
            <w:color w:val="auto"/>
            <w:u w:val="none"/>
          </w:rPr>
          <w:t>171.047 (Rights of Party at Hearing)</w:t>
        </w:r>
      </w:hyperlink>
      <w:r w:rsidRPr="008F3FF6">
        <w:t xml:space="preserve">, in a manner that substantially prejudiced the rights of a party; or </w:t>
      </w:r>
    </w:p>
    <w:p w14:paraId="6623A7BD" w14:textId="2CF58B9E" w:rsidR="008F3FF6" w:rsidRPr="008F3FF6" w:rsidRDefault="008F3FF6" w:rsidP="00BF0168">
      <w:pPr>
        <w:pStyle w:val="FootnoteText"/>
        <w:ind w:left="1440"/>
        <w:rPr>
          <w:b/>
          <w:bCs/>
        </w:rPr>
      </w:pPr>
      <w:r w:rsidRPr="008F3FF6">
        <w:rPr>
          <w:b/>
          <w:bCs/>
        </w:rPr>
        <w:t>(4)</w:t>
      </w:r>
      <w:r>
        <w:rPr>
          <w:b/>
          <w:bCs/>
        </w:rPr>
        <w:t xml:space="preserve"> </w:t>
      </w:r>
      <w:r w:rsidRPr="008F3FF6">
        <w:t>there was no agreement to arbitrate, the issue was not adversely determined in a proceeding under Subchapter B, and the party did not participate in the arbitration hearing without raising the objection.</w:t>
      </w:r>
    </w:p>
  </w:footnote>
  <w:footnote w:id="3">
    <w:p w14:paraId="3BD88F21" w14:textId="77777777" w:rsidR="00F97804" w:rsidRPr="00F97804" w:rsidRDefault="00F97804" w:rsidP="00F97804">
      <w:pPr>
        <w:pStyle w:val="FootnoteText"/>
      </w:pPr>
      <w:r>
        <w:rPr>
          <w:rStyle w:val="FootnoteReference"/>
        </w:rPr>
        <w:footnoteRef/>
      </w:r>
      <w:r>
        <w:t xml:space="preserve"> Exhibit 1 to Motion to Response to Defendants’ Original and Supplemental Motion to Confirm, Enforce, and Enter Judgment On Arbitration Awards, and Motion to Vacate Or Alternatively Modify Or Correct Awards (Motion to Vacate) </w:t>
      </w:r>
      <w:r w:rsidRPr="00F97804">
        <w:t>Interim Award, at 22; Exhibit 2</w:t>
      </w:r>
      <w:r>
        <w:t xml:space="preserve"> to Motion to Vacate</w:t>
      </w:r>
      <w:r w:rsidRPr="00F97804">
        <w:t>, Final Award, p. 2.</w:t>
      </w:r>
    </w:p>
  </w:footnote>
  <w:footnote w:id="4">
    <w:p w14:paraId="7DF7B755" w14:textId="77777777" w:rsidR="00F97804" w:rsidRDefault="00F97804" w:rsidP="00F97804">
      <w:pPr>
        <w:pStyle w:val="FootnoteText"/>
      </w:pPr>
      <w:r>
        <w:rPr>
          <w:rStyle w:val="FootnoteReference"/>
        </w:rPr>
        <w:footnoteRef/>
      </w:r>
      <w:r>
        <w:t xml:space="preserve"> CX235, attached to Motion to Vacate.</w:t>
      </w:r>
    </w:p>
  </w:footnote>
  <w:footnote w:id="5">
    <w:p w14:paraId="2341299F" w14:textId="77777777" w:rsidR="00F97804" w:rsidRDefault="00F97804" w:rsidP="00F97804">
      <w:pPr>
        <w:pStyle w:val="FootnoteText"/>
      </w:pPr>
      <w:r>
        <w:rPr>
          <w:rStyle w:val="FootnoteReference"/>
        </w:rPr>
        <w:footnoteRef/>
      </w:r>
      <w:r>
        <w:t xml:space="preserve"> LX304, attached to Motion to Vacate.</w:t>
      </w:r>
    </w:p>
  </w:footnote>
  <w:footnote w:id="6">
    <w:p w14:paraId="15E6886A" w14:textId="77777777" w:rsidR="00F97804" w:rsidRDefault="00F97804" w:rsidP="00F97804">
      <w:pPr>
        <w:pStyle w:val="FootnoteText"/>
      </w:pPr>
      <w:r>
        <w:rPr>
          <w:rStyle w:val="FootnoteReference"/>
        </w:rPr>
        <w:footnoteRef/>
      </w:r>
      <w:r>
        <w:t xml:space="preserve"> </w:t>
      </w:r>
      <w:r w:rsidRPr="00F97804">
        <w:t>Compare CX235 with LX304; 2RR313-315</w:t>
      </w:r>
      <w:r>
        <w:t>, attached to Motion to Vacate</w:t>
      </w:r>
      <w:r w:rsidRPr="00F97804">
        <w:t>.</w:t>
      </w:r>
    </w:p>
  </w:footnote>
  <w:footnote w:id="7">
    <w:p w14:paraId="1B5EC3F5" w14:textId="21338D50" w:rsidR="00525864" w:rsidRDefault="00525864">
      <w:pPr>
        <w:pStyle w:val="FootnoteText"/>
      </w:pPr>
      <w:r>
        <w:rPr>
          <w:rStyle w:val="FootnoteReference"/>
        </w:rPr>
        <w:footnoteRef/>
      </w:r>
      <w:r>
        <w:t xml:space="preserve"> 2RR409-410, attached to Motion to Vacate.</w:t>
      </w:r>
    </w:p>
  </w:footnote>
  <w:footnote w:id="8">
    <w:p w14:paraId="1874EA12" w14:textId="02FBD781" w:rsidR="00525864" w:rsidRDefault="00525864">
      <w:pPr>
        <w:pStyle w:val="FootnoteText"/>
      </w:pPr>
      <w:r>
        <w:rPr>
          <w:rStyle w:val="FootnoteReference"/>
        </w:rPr>
        <w:footnoteRef/>
      </w:r>
      <w:r>
        <w:t xml:space="preserve"> LC220, attached to Motion to Vacate.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7457EC"/>
    <w:multiLevelType w:val="hybridMultilevel"/>
    <w:tmpl w:val="64EAF5E0"/>
    <w:lvl w:ilvl="0" w:tplc="FE3E4A5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DF017B"/>
    <w:multiLevelType w:val="hybridMultilevel"/>
    <w:tmpl w:val="CD26E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BF04C3"/>
    <w:multiLevelType w:val="hybridMultilevel"/>
    <w:tmpl w:val="C45688A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D92093"/>
    <w:multiLevelType w:val="hybridMultilevel"/>
    <w:tmpl w:val="B4B4E900"/>
    <w:lvl w:ilvl="0" w:tplc="59D6FC34">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3629193">
    <w:abstractNumId w:val="3"/>
  </w:num>
  <w:num w:numId="2" w16cid:durableId="517159445">
    <w:abstractNumId w:val="0"/>
  </w:num>
  <w:num w:numId="3" w16cid:durableId="910194094">
    <w:abstractNumId w:val="2"/>
  </w:num>
  <w:num w:numId="4" w16cid:durableId="1228954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F3"/>
    <w:rsid w:val="00050A3A"/>
    <w:rsid w:val="00093871"/>
    <w:rsid w:val="0011682E"/>
    <w:rsid w:val="0013145C"/>
    <w:rsid w:val="00141402"/>
    <w:rsid w:val="00157E50"/>
    <w:rsid w:val="00191D39"/>
    <w:rsid w:val="001B32E2"/>
    <w:rsid w:val="00292919"/>
    <w:rsid w:val="002A54F6"/>
    <w:rsid w:val="003975C2"/>
    <w:rsid w:val="003C1DBD"/>
    <w:rsid w:val="0043162B"/>
    <w:rsid w:val="004F2375"/>
    <w:rsid w:val="00525864"/>
    <w:rsid w:val="00695BDE"/>
    <w:rsid w:val="0070079C"/>
    <w:rsid w:val="00703BD1"/>
    <w:rsid w:val="008C01B4"/>
    <w:rsid w:val="008F3FF6"/>
    <w:rsid w:val="00935C53"/>
    <w:rsid w:val="009E4B63"/>
    <w:rsid w:val="00A64AF3"/>
    <w:rsid w:val="00AA3EE0"/>
    <w:rsid w:val="00AD49FF"/>
    <w:rsid w:val="00B17B61"/>
    <w:rsid w:val="00BF0168"/>
    <w:rsid w:val="00CA7101"/>
    <w:rsid w:val="00D145EF"/>
    <w:rsid w:val="00D309A5"/>
    <w:rsid w:val="00D84271"/>
    <w:rsid w:val="00E22F98"/>
    <w:rsid w:val="00E32948"/>
    <w:rsid w:val="00E62629"/>
    <w:rsid w:val="00E968B4"/>
    <w:rsid w:val="00F9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0CA18"/>
  <w15:chartTrackingRefBased/>
  <w15:docId w15:val="{91C27EB5-43ED-449B-9EB5-ED650578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AF3"/>
    <w:pPr>
      <w:spacing w:after="0" w:line="240" w:lineRule="auto"/>
    </w:pPr>
    <w:rPr>
      <w:rFonts w:ascii="Times New Roman" w:eastAsia="Times New Roman" w:hAnsi="Times New Roman" w:cs="Times New Roman"/>
      <w:kern w:val="0"/>
      <w:sz w:val="20"/>
      <w:szCs w:val="20"/>
    </w:rPr>
  </w:style>
  <w:style w:type="paragraph" w:styleId="Heading1">
    <w:name w:val="heading 1"/>
    <w:basedOn w:val="Normal"/>
    <w:next w:val="Normal"/>
    <w:link w:val="Heading1Char"/>
    <w:uiPriority w:val="9"/>
    <w:qFormat/>
    <w:rsid w:val="00A64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A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A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A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A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AF3"/>
    <w:rPr>
      <w:rFonts w:eastAsiaTheme="majorEastAsia" w:cstheme="majorBidi"/>
      <w:color w:val="272727" w:themeColor="text1" w:themeTint="D8"/>
    </w:rPr>
  </w:style>
  <w:style w:type="paragraph" w:styleId="Title">
    <w:name w:val="Title"/>
    <w:basedOn w:val="Normal"/>
    <w:next w:val="Normal"/>
    <w:link w:val="TitleChar"/>
    <w:uiPriority w:val="10"/>
    <w:qFormat/>
    <w:rsid w:val="00A64A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A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AF3"/>
    <w:pPr>
      <w:spacing w:before="160"/>
      <w:jc w:val="center"/>
    </w:pPr>
    <w:rPr>
      <w:i/>
      <w:iCs/>
      <w:color w:val="404040" w:themeColor="text1" w:themeTint="BF"/>
    </w:rPr>
  </w:style>
  <w:style w:type="character" w:customStyle="1" w:styleId="QuoteChar">
    <w:name w:val="Quote Char"/>
    <w:basedOn w:val="DefaultParagraphFont"/>
    <w:link w:val="Quote"/>
    <w:uiPriority w:val="29"/>
    <w:rsid w:val="00A64AF3"/>
    <w:rPr>
      <w:i/>
      <w:iCs/>
      <w:color w:val="404040" w:themeColor="text1" w:themeTint="BF"/>
    </w:rPr>
  </w:style>
  <w:style w:type="paragraph" w:styleId="ListParagraph">
    <w:name w:val="List Paragraph"/>
    <w:basedOn w:val="Normal"/>
    <w:uiPriority w:val="34"/>
    <w:qFormat/>
    <w:rsid w:val="00A64AF3"/>
    <w:pPr>
      <w:ind w:left="720"/>
      <w:contextualSpacing/>
    </w:pPr>
  </w:style>
  <w:style w:type="character" w:styleId="IntenseEmphasis">
    <w:name w:val="Intense Emphasis"/>
    <w:basedOn w:val="DefaultParagraphFont"/>
    <w:uiPriority w:val="21"/>
    <w:qFormat/>
    <w:rsid w:val="00A64AF3"/>
    <w:rPr>
      <w:i/>
      <w:iCs/>
      <w:color w:val="0F4761" w:themeColor="accent1" w:themeShade="BF"/>
    </w:rPr>
  </w:style>
  <w:style w:type="paragraph" w:styleId="IntenseQuote">
    <w:name w:val="Intense Quote"/>
    <w:basedOn w:val="Normal"/>
    <w:next w:val="Normal"/>
    <w:link w:val="IntenseQuoteChar"/>
    <w:uiPriority w:val="30"/>
    <w:qFormat/>
    <w:rsid w:val="00A64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AF3"/>
    <w:rPr>
      <w:i/>
      <w:iCs/>
      <w:color w:val="0F4761" w:themeColor="accent1" w:themeShade="BF"/>
    </w:rPr>
  </w:style>
  <w:style w:type="character" w:styleId="IntenseReference">
    <w:name w:val="Intense Reference"/>
    <w:basedOn w:val="DefaultParagraphFont"/>
    <w:uiPriority w:val="32"/>
    <w:qFormat/>
    <w:rsid w:val="00A64AF3"/>
    <w:rPr>
      <w:b/>
      <w:bCs/>
      <w:smallCaps/>
      <w:color w:val="0F4761" w:themeColor="accent1" w:themeShade="BF"/>
      <w:spacing w:val="5"/>
    </w:rPr>
  </w:style>
  <w:style w:type="table" w:styleId="TableGrid">
    <w:name w:val="Table Grid"/>
    <w:basedOn w:val="TableNormal"/>
    <w:uiPriority w:val="59"/>
    <w:rsid w:val="00A64AF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BD1"/>
    <w:rPr>
      <w:color w:val="467886" w:themeColor="hyperlink"/>
      <w:u w:val="single"/>
    </w:rPr>
  </w:style>
  <w:style w:type="character" w:styleId="UnresolvedMention">
    <w:name w:val="Unresolved Mention"/>
    <w:basedOn w:val="DefaultParagraphFont"/>
    <w:uiPriority w:val="99"/>
    <w:semiHidden/>
    <w:unhideWhenUsed/>
    <w:rsid w:val="00703BD1"/>
    <w:rPr>
      <w:color w:val="605E5C"/>
      <w:shd w:val="clear" w:color="auto" w:fill="E1DFDD"/>
    </w:rPr>
  </w:style>
  <w:style w:type="paragraph" w:styleId="FootnoteText">
    <w:name w:val="footnote text"/>
    <w:basedOn w:val="Normal"/>
    <w:link w:val="FootnoteTextChar"/>
    <w:uiPriority w:val="99"/>
    <w:semiHidden/>
    <w:unhideWhenUsed/>
    <w:rsid w:val="0070079C"/>
  </w:style>
  <w:style w:type="character" w:customStyle="1" w:styleId="FootnoteTextChar">
    <w:name w:val="Footnote Text Char"/>
    <w:basedOn w:val="DefaultParagraphFont"/>
    <w:link w:val="FootnoteText"/>
    <w:uiPriority w:val="99"/>
    <w:semiHidden/>
    <w:rsid w:val="0070079C"/>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semiHidden/>
    <w:unhideWhenUsed/>
    <w:rsid w:val="0070079C"/>
    <w:rPr>
      <w:vertAlign w:val="superscript"/>
    </w:rPr>
  </w:style>
  <w:style w:type="paragraph" w:styleId="Header">
    <w:name w:val="header"/>
    <w:basedOn w:val="Normal"/>
    <w:link w:val="HeaderChar"/>
    <w:uiPriority w:val="99"/>
    <w:unhideWhenUsed/>
    <w:rsid w:val="002A54F6"/>
    <w:pPr>
      <w:tabs>
        <w:tab w:val="center" w:pos="4680"/>
        <w:tab w:val="right" w:pos="9360"/>
      </w:tabs>
    </w:pPr>
  </w:style>
  <w:style w:type="character" w:customStyle="1" w:styleId="HeaderChar">
    <w:name w:val="Header Char"/>
    <w:basedOn w:val="DefaultParagraphFont"/>
    <w:link w:val="Header"/>
    <w:uiPriority w:val="99"/>
    <w:rsid w:val="002A54F6"/>
    <w:rPr>
      <w:rFonts w:ascii="Times New Roman" w:eastAsia="Times New Roman" w:hAnsi="Times New Roman" w:cs="Times New Roman"/>
      <w:kern w:val="0"/>
      <w:sz w:val="20"/>
      <w:szCs w:val="20"/>
    </w:rPr>
  </w:style>
  <w:style w:type="paragraph" w:styleId="Footer">
    <w:name w:val="footer"/>
    <w:basedOn w:val="Normal"/>
    <w:link w:val="FooterChar"/>
    <w:uiPriority w:val="99"/>
    <w:unhideWhenUsed/>
    <w:rsid w:val="002A54F6"/>
    <w:pPr>
      <w:tabs>
        <w:tab w:val="center" w:pos="4680"/>
        <w:tab w:val="right" w:pos="9360"/>
      </w:tabs>
    </w:pPr>
  </w:style>
  <w:style w:type="character" w:customStyle="1" w:styleId="FooterChar">
    <w:name w:val="Footer Char"/>
    <w:basedOn w:val="DefaultParagraphFont"/>
    <w:link w:val="Footer"/>
    <w:uiPriority w:val="99"/>
    <w:rsid w:val="002A54F6"/>
    <w:rPr>
      <w:rFonts w:ascii="Times New Roman" w:eastAsia="Times New Roman"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291472">
      <w:bodyDiv w:val="1"/>
      <w:marLeft w:val="0"/>
      <w:marRight w:val="0"/>
      <w:marTop w:val="0"/>
      <w:marBottom w:val="0"/>
      <w:divBdr>
        <w:top w:val="none" w:sz="0" w:space="0" w:color="auto"/>
        <w:left w:val="none" w:sz="0" w:space="0" w:color="auto"/>
        <w:bottom w:val="none" w:sz="0" w:space="0" w:color="auto"/>
        <w:right w:val="none" w:sz="0" w:space="0" w:color="auto"/>
      </w:divBdr>
    </w:div>
    <w:div w:id="1450706020">
      <w:bodyDiv w:val="1"/>
      <w:marLeft w:val="0"/>
      <w:marRight w:val="0"/>
      <w:marTop w:val="0"/>
      <w:marBottom w:val="0"/>
      <w:divBdr>
        <w:top w:val="none" w:sz="0" w:space="0" w:color="auto"/>
        <w:left w:val="none" w:sz="0" w:space="0" w:color="auto"/>
        <w:bottom w:val="none" w:sz="0" w:space="0" w:color="auto"/>
        <w:right w:val="none" w:sz="0" w:space="0" w:color="auto"/>
      </w:divBdr>
      <w:divsChild>
        <w:div w:id="2039504700">
          <w:marLeft w:val="0"/>
          <w:marRight w:val="0"/>
          <w:marTop w:val="0"/>
          <w:marBottom w:val="0"/>
          <w:divBdr>
            <w:top w:val="none" w:sz="0" w:space="0" w:color="auto"/>
            <w:left w:val="none" w:sz="0" w:space="0" w:color="auto"/>
            <w:bottom w:val="none" w:sz="0" w:space="0" w:color="auto"/>
            <w:right w:val="none" w:sz="0" w:space="0" w:color="auto"/>
          </w:divBdr>
          <w:divsChild>
            <w:div w:id="1950965163">
              <w:marLeft w:val="0"/>
              <w:marRight w:val="0"/>
              <w:marTop w:val="0"/>
              <w:marBottom w:val="0"/>
              <w:divBdr>
                <w:top w:val="none" w:sz="0" w:space="0" w:color="auto"/>
                <w:left w:val="none" w:sz="0" w:space="0" w:color="auto"/>
                <w:bottom w:val="none" w:sz="0" w:space="0" w:color="auto"/>
                <w:right w:val="none" w:sz="0" w:space="0" w:color="auto"/>
              </w:divBdr>
            </w:div>
            <w:div w:id="1485315639">
              <w:marLeft w:val="0"/>
              <w:marRight w:val="0"/>
              <w:marTop w:val="0"/>
              <w:marBottom w:val="0"/>
              <w:divBdr>
                <w:top w:val="none" w:sz="0" w:space="0" w:color="auto"/>
                <w:left w:val="none" w:sz="0" w:space="0" w:color="auto"/>
                <w:bottom w:val="none" w:sz="0" w:space="0" w:color="auto"/>
                <w:right w:val="none" w:sz="0" w:space="0" w:color="auto"/>
              </w:divBdr>
              <w:divsChild>
                <w:div w:id="73744489">
                  <w:marLeft w:val="0"/>
                  <w:marRight w:val="0"/>
                  <w:marTop w:val="0"/>
                  <w:marBottom w:val="0"/>
                  <w:divBdr>
                    <w:top w:val="none" w:sz="0" w:space="0" w:color="auto"/>
                    <w:left w:val="none" w:sz="0" w:space="0" w:color="auto"/>
                    <w:bottom w:val="none" w:sz="0" w:space="0" w:color="auto"/>
                    <w:right w:val="none" w:sz="0" w:space="0" w:color="auto"/>
                  </w:divBdr>
                </w:div>
                <w:div w:id="595863123">
                  <w:marLeft w:val="0"/>
                  <w:marRight w:val="0"/>
                  <w:marTop w:val="0"/>
                  <w:marBottom w:val="0"/>
                  <w:divBdr>
                    <w:top w:val="none" w:sz="0" w:space="0" w:color="auto"/>
                    <w:left w:val="none" w:sz="0" w:space="0" w:color="auto"/>
                    <w:bottom w:val="none" w:sz="0" w:space="0" w:color="auto"/>
                    <w:right w:val="none" w:sz="0" w:space="0" w:color="auto"/>
                  </w:divBdr>
                </w:div>
                <w:div w:id="1348098920">
                  <w:marLeft w:val="0"/>
                  <w:marRight w:val="0"/>
                  <w:marTop w:val="0"/>
                  <w:marBottom w:val="0"/>
                  <w:divBdr>
                    <w:top w:val="none" w:sz="0" w:space="0" w:color="auto"/>
                    <w:left w:val="none" w:sz="0" w:space="0" w:color="auto"/>
                    <w:bottom w:val="none" w:sz="0" w:space="0" w:color="auto"/>
                    <w:right w:val="none" w:sz="0" w:space="0" w:color="auto"/>
                  </w:divBdr>
                </w:div>
              </w:divsChild>
            </w:div>
            <w:div w:id="927731145">
              <w:marLeft w:val="0"/>
              <w:marRight w:val="0"/>
              <w:marTop w:val="0"/>
              <w:marBottom w:val="0"/>
              <w:divBdr>
                <w:top w:val="none" w:sz="0" w:space="0" w:color="auto"/>
                <w:left w:val="none" w:sz="0" w:space="0" w:color="auto"/>
                <w:bottom w:val="none" w:sz="0" w:space="0" w:color="auto"/>
                <w:right w:val="none" w:sz="0" w:space="0" w:color="auto"/>
              </w:divBdr>
              <w:divsChild>
                <w:div w:id="584995147">
                  <w:marLeft w:val="0"/>
                  <w:marRight w:val="0"/>
                  <w:marTop w:val="0"/>
                  <w:marBottom w:val="0"/>
                  <w:divBdr>
                    <w:top w:val="none" w:sz="0" w:space="0" w:color="auto"/>
                    <w:left w:val="none" w:sz="0" w:space="0" w:color="auto"/>
                    <w:bottom w:val="none" w:sz="0" w:space="0" w:color="auto"/>
                    <w:right w:val="none" w:sz="0" w:space="0" w:color="auto"/>
                  </w:divBdr>
                </w:div>
                <w:div w:id="987251456">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49368727">
                  <w:marLeft w:val="0"/>
                  <w:marRight w:val="0"/>
                  <w:marTop w:val="0"/>
                  <w:marBottom w:val="0"/>
                  <w:divBdr>
                    <w:top w:val="none" w:sz="0" w:space="0" w:color="auto"/>
                    <w:left w:val="none" w:sz="0" w:space="0" w:color="auto"/>
                    <w:bottom w:val="none" w:sz="0" w:space="0" w:color="auto"/>
                    <w:right w:val="none" w:sz="0" w:space="0" w:color="auto"/>
                  </w:divBdr>
                </w:div>
              </w:divsChild>
            </w:div>
            <w:div w:id="1607539747">
              <w:marLeft w:val="0"/>
              <w:marRight w:val="0"/>
              <w:marTop w:val="0"/>
              <w:marBottom w:val="0"/>
              <w:divBdr>
                <w:top w:val="none" w:sz="0" w:space="0" w:color="auto"/>
                <w:left w:val="none" w:sz="0" w:space="0" w:color="auto"/>
                <w:bottom w:val="none" w:sz="0" w:space="0" w:color="auto"/>
                <w:right w:val="none" w:sz="0" w:space="0" w:color="auto"/>
              </w:divBdr>
            </w:div>
          </w:divsChild>
        </w:div>
        <w:div w:id="691496392">
          <w:marLeft w:val="0"/>
          <w:marRight w:val="0"/>
          <w:marTop w:val="0"/>
          <w:marBottom w:val="0"/>
          <w:divBdr>
            <w:top w:val="none" w:sz="0" w:space="0" w:color="auto"/>
            <w:left w:val="none" w:sz="0" w:space="0" w:color="auto"/>
            <w:bottom w:val="none" w:sz="0" w:space="0" w:color="auto"/>
            <w:right w:val="none" w:sz="0" w:space="0" w:color="auto"/>
          </w:divBdr>
        </w:div>
        <w:div w:id="1454203082">
          <w:marLeft w:val="0"/>
          <w:marRight w:val="0"/>
          <w:marTop w:val="0"/>
          <w:marBottom w:val="0"/>
          <w:divBdr>
            <w:top w:val="none" w:sz="0" w:space="0" w:color="auto"/>
            <w:left w:val="none" w:sz="0" w:space="0" w:color="auto"/>
            <w:bottom w:val="none" w:sz="0" w:space="0" w:color="auto"/>
            <w:right w:val="none" w:sz="0" w:space="0" w:color="auto"/>
          </w:divBdr>
        </w:div>
      </w:divsChild>
    </w:div>
    <w:div w:id="1604411752">
      <w:bodyDiv w:val="1"/>
      <w:marLeft w:val="0"/>
      <w:marRight w:val="0"/>
      <w:marTop w:val="0"/>
      <w:marBottom w:val="0"/>
      <w:divBdr>
        <w:top w:val="none" w:sz="0" w:space="0" w:color="auto"/>
        <w:left w:val="none" w:sz="0" w:space="0" w:color="auto"/>
        <w:bottom w:val="none" w:sz="0" w:space="0" w:color="auto"/>
        <w:right w:val="none" w:sz="0" w:space="0" w:color="auto"/>
      </w:divBdr>
    </w:div>
    <w:div w:id="2026244506">
      <w:bodyDiv w:val="1"/>
      <w:marLeft w:val="0"/>
      <w:marRight w:val="0"/>
      <w:marTop w:val="0"/>
      <w:marBottom w:val="0"/>
      <w:divBdr>
        <w:top w:val="none" w:sz="0" w:space="0" w:color="auto"/>
        <w:left w:val="none" w:sz="0" w:space="0" w:color="auto"/>
        <w:bottom w:val="none" w:sz="0" w:space="0" w:color="auto"/>
        <w:right w:val="none" w:sz="0" w:space="0" w:color="auto"/>
      </w:divBdr>
      <w:divsChild>
        <w:div w:id="672102257">
          <w:marLeft w:val="0"/>
          <w:marRight w:val="0"/>
          <w:marTop w:val="0"/>
          <w:marBottom w:val="0"/>
          <w:divBdr>
            <w:top w:val="none" w:sz="0" w:space="0" w:color="auto"/>
            <w:left w:val="none" w:sz="0" w:space="0" w:color="auto"/>
            <w:bottom w:val="none" w:sz="0" w:space="0" w:color="auto"/>
            <w:right w:val="none" w:sz="0" w:space="0" w:color="auto"/>
          </w:divBdr>
          <w:divsChild>
            <w:div w:id="1215314630">
              <w:marLeft w:val="0"/>
              <w:marRight w:val="0"/>
              <w:marTop w:val="0"/>
              <w:marBottom w:val="0"/>
              <w:divBdr>
                <w:top w:val="none" w:sz="0" w:space="0" w:color="auto"/>
                <w:left w:val="none" w:sz="0" w:space="0" w:color="auto"/>
                <w:bottom w:val="none" w:sz="0" w:space="0" w:color="auto"/>
                <w:right w:val="none" w:sz="0" w:space="0" w:color="auto"/>
              </w:divBdr>
            </w:div>
            <w:div w:id="1922980371">
              <w:marLeft w:val="0"/>
              <w:marRight w:val="0"/>
              <w:marTop w:val="0"/>
              <w:marBottom w:val="0"/>
              <w:divBdr>
                <w:top w:val="none" w:sz="0" w:space="0" w:color="auto"/>
                <w:left w:val="none" w:sz="0" w:space="0" w:color="auto"/>
                <w:bottom w:val="none" w:sz="0" w:space="0" w:color="auto"/>
                <w:right w:val="none" w:sz="0" w:space="0" w:color="auto"/>
              </w:divBdr>
              <w:divsChild>
                <w:div w:id="1315331030">
                  <w:marLeft w:val="0"/>
                  <w:marRight w:val="0"/>
                  <w:marTop w:val="0"/>
                  <w:marBottom w:val="0"/>
                  <w:divBdr>
                    <w:top w:val="none" w:sz="0" w:space="0" w:color="auto"/>
                    <w:left w:val="none" w:sz="0" w:space="0" w:color="auto"/>
                    <w:bottom w:val="none" w:sz="0" w:space="0" w:color="auto"/>
                    <w:right w:val="none" w:sz="0" w:space="0" w:color="auto"/>
                  </w:divBdr>
                </w:div>
                <w:div w:id="965547881">
                  <w:marLeft w:val="0"/>
                  <w:marRight w:val="0"/>
                  <w:marTop w:val="0"/>
                  <w:marBottom w:val="0"/>
                  <w:divBdr>
                    <w:top w:val="none" w:sz="0" w:space="0" w:color="auto"/>
                    <w:left w:val="none" w:sz="0" w:space="0" w:color="auto"/>
                    <w:bottom w:val="none" w:sz="0" w:space="0" w:color="auto"/>
                    <w:right w:val="none" w:sz="0" w:space="0" w:color="auto"/>
                  </w:divBdr>
                </w:div>
                <w:div w:id="516116662">
                  <w:marLeft w:val="0"/>
                  <w:marRight w:val="0"/>
                  <w:marTop w:val="0"/>
                  <w:marBottom w:val="0"/>
                  <w:divBdr>
                    <w:top w:val="none" w:sz="0" w:space="0" w:color="auto"/>
                    <w:left w:val="none" w:sz="0" w:space="0" w:color="auto"/>
                    <w:bottom w:val="none" w:sz="0" w:space="0" w:color="auto"/>
                    <w:right w:val="none" w:sz="0" w:space="0" w:color="auto"/>
                  </w:divBdr>
                </w:div>
              </w:divsChild>
            </w:div>
            <w:div w:id="1022779909">
              <w:marLeft w:val="0"/>
              <w:marRight w:val="0"/>
              <w:marTop w:val="0"/>
              <w:marBottom w:val="0"/>
              <w:divBdr>
                <w:top w:val="none" w:sz="0" w:space="0" w:color="auto"/>
                <w:left w:val="none" w:sz="0" w:space="0" w:color="auto"/>
                <w:bottom w:val="none" w:sz="0" w:space="0" w:color="auto"/>
                <w:right w:val="none" w:sz="0" w:space="0" w:color="auto"/>
              </w:divBdr>
              <w:divsChild>
                <w:div w:id="547185396">
                  <w:marLeft w:val="0"/>
                  <w:marRight w:val="0"/>
                  <w:marTop w:val="0"/>
                  <w:marBottom w:val="0"/>
                  <w:divBdr>
                    <w:top w:val="none" w:sz="0" w:space="0" w:color="auto"/>
                    <w:left w:val="none" w:sz="0" w:space="0" w:color="auto"/>
                    <w:bottom w:val="none" w:sz="0" w:space="0" w:color="auto"/>
                    <w:right w:val="none" w:sz="0" w:space="0" w:color="auto"/>
                  </w:divBdr>
                </w:div>
                <w:div w:id="1535842958">
                  <w:marLeft w:val="0"/>
                  <w:marRight w:val="0"/>
                  <w:marTop w:val="0"/>
                  <w:marBottom w:val="0"/>
                  <w:divBdr>
                    <w:top w:val="none" w:sz="0" w:space="0" w:color="auto"/>
                    <w:left w:val="none" w:sz="0" w:space="0" w:color="auto"/>
                    <w:bottom w:val="none" w:sz="0" w:space="0" w:color="auto"/>
                    <w:right w:val="none" w:sz="0" w:space="0" w:color="auto"/>
                  </w:divBdr>
                </w:div>
                <w:div w:id="1345934450">
                  <w:marLeft w:val="0"/>
                  <w:marRight w:val="0"/>
                  <w:marTop w:val="0"/>
                  <w:marBottom w:val="0"/>
                  <w:divBdr>
                    <w:top w:val="none" w:sz="0" w:space="0" w:color="auto"/>
                    <w:left w:val="none" w:sz="0" w:space="0" w:color="auto"/>
                    <w:bottom w:val="none" w:sz="0" w:space="0" w:color="auto"/>
                    <w:right w:val="none" w:sz="0" w:space="0" w:color="auto"/>
                  </w:divBdr>
                </w:div>
                <w:div w:id="948974303">
                  <w:marLeft w:val="0"/>
                  <w:marRight w:val="0"/>
                  <w:marTop w:val="0"/>
                  <w:marBottom w:val="0"/>
                  <w:divBdr>
                    <w:top w:val="none" w:sz="0" w:space="0" w:color="auto"/>
                    <w:left w:val="none" w:sz="0" w:space="0" w:color="auto"/>
                    <w:bottom w:val="none" w:sz="0" w:space="0" w:color="auto"/>
                    <w:right w:val="none" w:sz="0" w:space="0" w:color="auto"/>
                  </w:divBdr>
                </w:div>
              </w:divsChild>
            </w:div>
            <w:div w:id="1989285443">
              <w:marLeft w:val="0"/>
              <w:marRight w:val="0"/>
              <w:marTop w:val="0"/>
              <w:marBottom w:val="0"/>
              <w:divBdr>
                <w:top w:val="none" w:sz="0" w:space="0" w:color="auto"/>
                <w:left w:val="none" w:sz="0" w:space="0" w:color="auto"/>
                <w:bottom w:val="none" w:sz="0" w:space="0" w:color="auto"/>
                <w:right w:val="none" w:sz="0" w:space="0" w:color="auto"/>
              </w:divBdr>
            </w:div>
          </w:divsChild>
        </w:div>
        <w:div w:id="1549419086">
          <w:marLeft w:val="0"/>
          <w:marRight w:val="0"/>
          <w:marTop w:val="0"/>
          <w:marBottom w:val="0"/>
          <w:divBdr>
            <w:top w:val="none" w:sz="0" w:space="0" w:color="auto"/>
            <w:left w:val="none" w:sz="0" w:space="0" w:color="auto"/>
            <w:bottom w:val="none" w:sz="0" w:space="0" w:color="auto"/>
            <w:right w:val="none" w:sz="0" w:space="0" w:color="auto"/>
          </w:divBdr>
        </w:div>
        <w:div w:id="1115515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zo@mdjwlaw.com" TargetMode="External"/><Relationship Id="rId3" Type="http://schemas.openxmlformats.org/officeDocument/2006/relationships/settings" Target="settings.xml"/><Relationship Id="rId7" Type="http://schemas.openxmlformats.org/officeDocument/2006/relationships/hyperlink" Target="mailto:jefferson@mdjwl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exas.public.law/statutes/tex._civ._practice_and_remedies_code_section_171.045" TargetMode="External"/><Relationship Id="rId2" Type="http://schemas.openxmlformats.org/officeDocument/2006/relationships/hyperlink" Target="https://texas.public.law/statutes/tex._civ._practice_and_remedies_code_section_171.044" TargetMode="External"/><Relationship Id="rId1" Type="http://schemas.openxmlformats.org/officeDocument/2006/relationships/hyperlink" Target="https://texas.public.law/statutes/tex._civ._practice_and_remedies_code_section_171.043" TargetMode="External"/><Relationship Id="rId5" Type="http://schemas.openxmlformats.org/officeDocument/2006/relationships/hyperlink" Target="https://texas.public.law/statutes/tex._civ._practice_and_remedies_code_section_171.047" TargetMode="External"/><Relationship Id="rId4" Type="http://schemas.openxmlformats.org/officeDocument/2006/relationships/hyperlink" Target="https://texas.public.law/statutes/tex._civ._practice_and_remedies_code_section_17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2787</TotalTime>
  <Pages>12</Pages>
  <Words>3421</Words>
  <Characters>17676</Characters>
  <Application>Microsoft Office Word</Application>
  <DocSecurity>0</DocSecurity>
  <PresentationFormat/>
  <Lines>349</Lines>
  <Paragraphs>94</Paragraphs>
  <ScaleCrop>false</ScaleCrop>
  <HeadingPairs>
    <vt:vector size="2" baseType="variant">
      <vt:variant>
        <vt:lpstr>Title</vt:lpstr>
      </vt:variant>
      <vt:variant>
        <vt:i4>1</vt:i4>
      </vt:variant>
    </vt:vector>
  </HeadingPairs>
  <TitlesOfParts>
    <vt:vector size="1" baseType="lpstr">
      <vt:lpstr>MOTION for New Trial/Modification of Judgment Confirming Arbitration Award (03247011).DOCX</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for New Trial-Modification of Judgment Confirming Arbitration Award (03247011).DOCX</dc:title>
  <dc:subject/>
  <dc:creator>Robert Owen</dc:creator>
  <cp:keywords/>
  <dc:description/>
  <cp:lastModifiedBy>Robert Owen</cp:lastModifiedBy>
  <cp:revision>8</cp:revision>
  <cp:lastPrinted>2024-08-13T19:56:00Z</cp:lastPrinted>
  <dcterms:created xsi:type="dcterms:W3CDTF">2024-08-08T20:59:00Z</dcterms:created>
  <dcterms:modified xsi:type="dcterms:W3CDTF">2024-08-13T20:10:00Z</dcterms:modified>
</cp:coreProperties>
</file>